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3898"/>
        <w:gridCol w:w="1417"/>
        <w:gridCol w:w="4232"/>
      </w:tblGrid>
      <w:tr w:rsidR="003B3AE9" w:rsidRPr="00D63A3A" w14:paraId="01320DC8" w14:textId="77777777" w:rsidTr="37589110">
        <w:trPr>
          <w:cantSplit/>
        </w:trPr>
        <w:tc>
          <w:tcPr>
            <w:tcW w:w="3898" w:type="dxa"/>
            <w:tcBorders>
              <w:top w:val="nil"/>
              <w:left w:val="nil"/>
              <w:bottom w:val="nil"/>
              <w:right w:val="nil"/>
            </w:tcBorders>
          </w:tcPr>
          <w:p w14:paraId="33D2B6E4" w14:textId="4B64C2DE" w:rsidR="003B3AE9" w:rsidRPr="00D63A3A" w:rsidRDefault="5A1FB229"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r w:rsidRPr="43FFFC12">
              <w:rPr>
                <w:rFonts w:ascii="Times New Roman" w:hAnsi="Times New Roman" w:cs="Times New Roman"/>
                <w:caps/>
                <w:color w:val="000000" w:themeColor="text1"/>
                <w:sz w:val="18"/>
                <w:szCs w:val="18"/>
                <w:lang w:val="en-GB"/>
              </w:rPr>
              <w:t>go</w:t>
            </w:r>
            <w:r w:rsidR="10AF2127" w:rsidRPr="30241816">
              <w:rPr>
                <w:rFonts w:ascii="Times New Roman" w:hAnsi="Times New Roman" w:cs="Times New Roman"/>
                <w:caps/>
                <w:color w:val="000000" w:themeColor="text1"/>
                <w:sz w:val="18"/>
                <w:szCs w:val="18"/>
                <w:lang w:val="en-GB"/>
              </w:rPr>
              <w:t>WORLD HEALTH ORGANIZATION</w:t>
            </w:r>
          </w:p>
          <w:p w14:paraId="35BF1EEC" w14:textId="77777777" w:rsidR="003B3AE9" w:rsidRPr="00D63A3A" w:rsidRDefault="77510E5B" w:rsidP="37589110">
            <w:pPr>
              <w:tabs>
                <w:tab w:val="right" w:pos="9356"/>
              </w:tabs>
              <w:spacing w:line="259" w:lineRule="auto"/>
              <w:ind w:right="-1"/>
              <w:contextualSpacing/>
              <w:rPr>
                <w:rFonts w:ascii="Times New Roman" w:hAnsi="Times New Roman" w:cs="Times New Roman"/>
                <w:b/>
                <w:bCs/>
                <w:caps/>
                <w:color w:val="000000" w:themeColor="text1"/>
                <w:sz w:val="18"/>
                <w:szCs w:val="18"/>
                <w:lang w:val="en-GB"/>
              </w:rPr>
            </w:pPr>
            <w:r w:rsidRPr="37589110">
              <w:rPr>
                <w:rFonts w:ascii="Times New Roman" w:hAnsi="Times New Roman" w:cs="Times New Roman"/>
                <w:b/>
                <w:bCs/>
                <w:caps/>
                <w:color w:val="000000" w:themeColor="text1"/>
                <w:sz w:val="18"/>
                <w:szCs w:val="18"/>
                <w:lang w:val="en-GB"/>
              </w:rPr>
              <w:t>Regional Office for Europe</w:t>
            </w:r>
          </w:p>
          <w:p w14:paraId="00121243" w14:textId="77777777" w:rsidR="003B3AE9" w:rsidRPr="00D63A3A" w:rsidRDefault="003B3AE9"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p>
          <w:p w14:paraId="5053559A" w14:textId="77777777" w:rsidR="003B3AE9" w:rsidRPr="00D63A3A" w:rsidRDefault="77510E5B"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r w:rsidRPr="37589110">
              <w:rPr>
                <w:rFonts w:ascii="Times New Roman" w:hAnsi="Times New Roman" w:cs="Times New Roman"/>
                <w:caps/>
                <w:color w:val="000000" w:themeColor="text1"/>
                <w:sz w:val="18"/>
                <w:szCs w:val="18"/>
                <w:lang w:val="en-GB"/>
              </w:rPr>
              <w:t>Weltgesundheitsorganisation</w:t>
            </w:r>
          </w:p>
          <w:p w14:paraId="2807D6CE" w14:textId="77777777" w:rsidR="003B3AE9" w:rsidRPr="00D63A3A" w:rsidRDefault="77510E5B" w:rsidP="37589110">
            <w:pPr>
              <w:tabs>
                <w:tab w:val="right" w:pos="9356"/>
              </w:tabs>
              <w:spacing w:line="259" w:lineRule="auto"/>
              <w:ind w:right="-1"/>
              <w:contextualSpacing/>
              <w:rPr>
                <w:rFonts w:ascii="Times New Roman" w:hAnsi="Times New Roman" w:cs="Times New Roman"/>
                <w:caps/>
                <w:color w:val="000000" w:themeColor="text1"/>
                <w:sz w:val="18"/>
                <w:szCs w:val="18"/>
                <w:lang w:val="en-GB"/>
              </w:rPr>
            </w:pPr>
            <w:r w:rsidRPr="37589110">
              <w:rPr>
                <w:rFonts w:ascii="Times New Roman" w:hAnsi="Times New Roman" w:cs="Times New Roman"/>
                <w:b/>
                <w:bCs/>
                <w:caps/>
                <w:color w:val="000000" w:themeColor="text1"/>
                <w:sz w:val="18"/>
                <w:szCs w:val="18"/>
                <w:lang w:val="en-GB"/>
              </w:rPr>
              <w:t>Regionalbüro füR Europa</w:t>
            </w:r>
          </w:p>
        </w:tc>
        <w:tc>
          <w:tcPr>
            <w:tcW w:w="1417" w:type="dxa"/>
            <w:tcBorders>
              <w:top w:val="nil"/>
              <w:left w:val="nil"/>
              <w:bottom w:val="nil"/>
              <w:right w:val="nil"/>
            </w:tcBorders>
          </w:tcPr>
          <w:p w14:paraId="4FC8667D" w14:textId="23F7E232" w:rsidR="003B3AE9" w:rsidRPr="00D63A3A" w:rsidRDefault="00FB1013" w:rsidP="37589110">
            <w:pPr>
              <w:spacing w:line="259" w:lineRule="auto"/>
              <w:contextualSpacing/>
              <w:jc w:val="center"/>
              <w:rPr>
                <w:rFonts w:ascii="Times New Roman" w:hAnsi="Times New Roman" w:cs="Times New Roman"/>
                <w:color w:val="000000" w:themeColor="text1"/>
                <w:lang w:val="en-GB"/>
              </w:rPr>
            </w:pPr>
            <w:r w:rsidRPr="00D63A3A">
              <w:rPr>
                <w:rFonts w:ascii="Times New Roman" w:hAnsi="Times New Roman" w:cs="Times New Roman"/>
                <w:noProof/>
                <w:color w:val="000000" w:themeColor="text1"/>
              </w:rPr>
              <w:object w:dxaOrig="10443" w:dyaOrig="9233" w14:anchorId="4F8B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3.25pt" o:ole="" fillcolor="window">
                  <v:imagedata r:id="rId11" o:title=""/>
                </v:shape>
                <o:OLEObject Type="Embed" ProgID="MSDraw" ShapeID="_x0000_i1025" DrawAspect="Content" ObjectID="_1774709918" r:id="rId12">
                  <o:FieldCodes>\* mergeformat</o:FieldCodes>
                </o:OLEObject>
              </w:object>
            </w:r>
          </w:p>
        </w:tc>
        <w:tc>
          <w:tcPr>
            <w:tcW w:w="4232" w:type="dxa"/>
            <w:tcBorders>
              <w:top w:val="nil"/>
              <w:left w:val="nil"/>
              <w:bottom w:val="nil"/>
              <w:right w:val="nil"/>
            </w:tcBorders>
          </w:tcPr>
          <w:p w14:paraId="5610B874"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004D7C8E">
              <w:rPr>
                <w:rFonts w:ascii="Times New Roman" w:hAnsi="Times New Roman" w:cs="Times New Roman"/>
                <w:caps/>
                <w:color w:val="000000" w:themeColor="text1"/>
                <w:sz w:val="18"/>
                <w:szCs w:val="18"/>
                <w:lang w:val="fr-CH"/>
              </w:rPr>
              <w:t>Organisation Mondiale de la SantÉ</w:t>
            </w:r>
          </w:p>
          <w:p w14:paraId="5A811B52"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004D7C8E">
              <w:rPr>
                <w:rFonts w:ascii="Times New Roman" w:hAnsi="Times New Roman" w:cs="Times New Roman"/>
                <w:b/>
                <w:bCs/>
                <w:caps/>
                <w:color w:val="000000" w:themeColor="text1"/>
                <w:sz w:val="18"/>
                <w:szCs w:val="18"/>
                <w:lang w:val="fr-CH"/>
              </w:rPr>
              <w:t>Bureau RÉgional de l'Europe</w:t>
            </w:r>
          </w:p>
          <w:p w14:paraId="2602092F" w14:textId="77777777" w:rsidR="003B3AE9" w:rsidRPr="004D7C8E" w:rsidRDefault="003B3AE9"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p>
          <w:p w14:paraId="3727153C"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37589110">
              <w:rPr>
                <w:rFonts w:ascii="Times New Roman" w:hAnsi="Times New Roman" w:cs="Times New Roman"/>
                <w:caps/>
                <w:color w:val="000000" w:themeColor="text1"/>
                <w:sz w:val="16"/>
                <w:szCs w:val="16"/>
                <w:lang w:val="en-GB"/>
              </w:rPr>
              <w:t>ВсемирнаЯ</w:t>
            </w:r>
            <w:r w:rsidRPr="004D7C8E">
              <w:rPr>
                <w:rFonts w:ascii="Times New Roman" w:hAnsi="Times New Roman" w:cs="Times New Roman"/>
                <w:caps/>
                <w:color w:val="000000" w:themeColor="text1"/>
                <w:sz w:val="16"/>
                <w:szCs w:val="16"/>
                <w:lang w:val="fr-CH"/>
              </w:rPr>
              <w:t xml:space="preserve"> </w:t>
            </w:r>
            <w:r w:rsidRPr="37589110">
              <w:rPr>
                <w:rFonts w:ascii="Times New Roman" w:hAnsi="Times New Roman" w:cs="Times New Roman"/>
                <w:caps/>
                <w:color w:val="000000" w:themeColor="text1"/>
                <w:sz w:val="16"/>
                <w:szCs w:val="16"/>
                <w:lang w:val="en-GB"/>
              </w:rPr>
              <w:t>организациЯ</w:t>
            </w:r>
            <w:r w:rsidRPr="004D7C8E">
              <w:rPr>
                <w:rFonts w:ascii="Times New Roman" w:hAnsi="Times New Roman" w:cs="Times New Roman"/>
                <w:caps/>
                <w:color w:val="000000" w:themeColor="text1"/>
                <w:sz w:val="16"/>
                <w:szCs w:val="16"/>
                <w:lang w:val="fr-CH"/>
              </w:rPr>
              <w:t xml:space="preserve"> </w:t>
            </w:r>
            <w:r w:rsidRPr="37589110">
              <w:rPr>
                <w:rFonts w:ascii="Times New Roman" w:hAnsi="Times New Roman" w:cs="Times New Roman"/>
                <w:caps/>
                <w:color w:val="000000" w:themeColor="text1"/>
                <w:sz w:val="16"/>
                <w:szCs w:val="16"/>
                <w:lang w:val="en-GB"/>
              </w:rPr>
              <w:t>здравоохранениЯ</w:t>
            </w:r>
          </w:p>
          <w:p w14:paraId="71666B5F" w14:textId="77777777" w:rsidR="003B3AE9" w:rsidRPr="004D7C8E" w:rsidRDefault="77510E5B" w:rsidP="37589110">
            <w:pPr>
              <w:tabs>
                <w:tab w:val="right" w:pos="9356"/>
              </w:tabs>
              <w:spacing w:line="259" w:lineRule="auto"/>
              <w:ind w:right="-1"/>
              <w:contextualSpacing/>
              <w:jc w:val="right"/>
              <w:rPr>
                <w:rFonts w:ascii="Times New Roman" w:hAnsi="Times New Roman" w:cs="Times New Roman"/>
                <w:caps/>
                <w:color w:val="000000" w:themeColor="text1"/>
                <w:sz w:val="18"/>
                <w:szCs w:val="18"/>
                <w:lang w:val="fr-CH"/>
              </w:rPr>
            </w:pPr>
            <w:r w:rsidRPr="37589110">
              <w:rPr>
                <w:rFonts w:ascii="Times New Roman" w:hAnsi="Times New Roman" w:cs="Times New Roman"/>
                <w:b/>
                <w:bCs/>
                <w:caps/>
                <w:color w:val="000000" w:themeColor="text1"/>
                <w:sz w:val="18"/>
                <w:szCs w:val="18"/>
                <w:lang w:val="en-GB"/>
              </w:rPr>
              <w:t>Европейское</w:t>
            </w:r>
            <w:r w:rsidRPr="004D7C8E">
              <w:rPr>
                <w:rFonts w:ascii="Times New Roman" w:hAnsi="Times New Roman" w:cs="Times New Roman"/>
                <w:b/>
                <w:bCs/>
                <w:caps/>
                <w:color w:val="000000" w:themeColor="text1"/>
                <w:sz w:val="18"/>
                <w:szCs w:val="18"/>
                <w:lang w:val="fr-CH"/>
              </w:rPr>
              <w:t xml:space="preserve"> </w:t>
            </w:r>
            <w:r w:rsidRPr="37589110">
              <w:rPr>
                <w:rFonts w:ascii="Times New Roman" w:hAnsi="Times New Roman" w:cs="Times New Roman"/>
                <w:b/>
                <w:bCs/>
                <w:caps/>
                <w:color w:val="000000" w:themeColor="text1"/>
                <w:sz w:val="18"/>
                <w:szCs w:val="18"/>
                <w:lang w:val="en-GB"/>
              </w:rPr>
              <w:t>региональное</w:t>
            </w:r>
            <w:r w:rsidRPr="004D7C8E">
              <w:rPr>
                <w:rFonts w:ascii="Times New Roman" w:hAnsi="Times New Roman" w:cs="Times New Roman"/>
                <w:b/>
                <w:bCs/>
                <w:caps/>
                <w:color w:val="000000" w:themeColor="text1"/>
                <w:sz w:val="18"/>
                <w:szCs w:val="18"/>
                <w:lang w:val="fr-CH"/>
              </w:rPr>
              <w:t xml:space="preserve"> </w:t>
            </w:r>
            <w:r w:rsidRPr="37589110">
              <w:rPr>
                <w:rFonts w:ascii="Times New Roman" w:hAnsi="Times New Roman" w:cs="Times New Roman"/>
                <w:b/>
                <w:bCs/>
                <w:caps/>
                <w:color w:val="000000" w:themeColor="text1"/>
                <w:sz w:val="18"/>
                <w:szCs w:val="18"/>
                <w:lang w:val="en-GB"/>
              </w:rPr>
              <w:t>бюро</w:t>
            </w:r>
          </w:p>
        </w:tc>
      </w:tr>
      <w:tr w:rsidR="003B3AE9" w:rsidRPr="00D4162C" w14:paraId="71EE11C0" w14:textId="77777777" w:rsidTr="37589110">
        <w:trPr>
          <w:cantSplit/>
        </w:trPr>
        <w:tc>
          <w:tcPr>
            <w:tcW w:w="3898" w:type="dxa"/>
            <w:tcBorders>
              <w:top w:val="nil"/>
              <w:left w:val="nil"/>
              <w:bottom w:val="single" w:sz="12" w:space="0" w:color="auto"/>
              <w:right w:val="nil"/>
            </w:tcBorders>
          </w:tcPr>
          <w:p w14:paraId="78476547" w14:textId="77777777" w:rsidR="003B3AE9" w:rsidRPr="004D7C8E" w:rsidRDefault="003B3AE9" w:rsidP="37589110">
            <w:pPr>
              <w:tabs>
                <w:tab w:val="right" w:pos="9356"/>
              </w:tabs>
              <w:spacing w:line="259" w:lineRule="auto"/>
              <w:ind w:right="-1"/>
              <w:rPr>
                <w:rFonts w:ascii="Arial" w:hAnsi="Arial"/>
                <w:smallCaps/>
                <w:color w:val="000000" w:themeColor="text1"/>
                <w:lang w:val="fr-CH"/>
              </w:rPr>
            </w:pPr>
          </w:p>
        </w:tc>
        <w:tc>
          <w:tcPr>
            <w:tcW w:w="1417" w:type="dxa"/>
            <w:tcBorders>
              <w:top w:val="nil"/>
              <w:left w:val="nil"/>
              <w:bottom w:val="single" w:sz="12" w:space="0" w:color="auto"/>
              <w:right w:val="nil"/>
            </w:tcBorders>
          </w:tcPr>
          <w:p w14:paraId="66055AC4" w14:textId="77777777" w:rsidR="003B3AE9" w:rsidRPr="004D7C8E" w:rsidRDefault="003B3AE9" w:rsidP="37589110">
            <w:pPr>
              <w:tabs>
                <w:tab w:val="right" w:pos="9356"/>
              </w:tabs>
              <w:spacing w:line="259" w:lineRule="auto"/>
              <w:rPr>
                <w:rFonts w:ascii="Arial" w:hAnsi="Arial"/>
                <w:smallCaps/>
                <w:color w:val="000000" w:themeColor="text1"/>
                <w:lang w:val="fr-CH"/>
              </w:rPr>
            </w:pPr>
          </w:p>
        </w:tc>
        <w:tc>
          <w:tcPr>
            <w:tcW w:w="4232" w:type="dxa"/>
            <w:tcBorders>
              <w:top w:val="nil"/>
              <w:left w:val="nil"/>
              <w:bottom w:val="single" w:sz="12" w:space="0" w:color="auto"/>
              <w:right w:val="nil"/>
            </w:tcBorders>
          </w:tcPr>
          <w:p w14:paraId="7677EDE3" w14:textId="77777777" w:rsidR="003B3AE9" w:rsidRPr="004D7C8E" w:rsidRDefault="003B3AE9" w:rsidP="37589110">
            <w:pPr>
              <w:tabs>
                <w:tab w:val="right" w:pos="9356"/>
              </w:tabs>
              <w:spacing w:line="259" w:lineRule="auto"/>
              <w:ind w:right="-1"/>
              <w:jc w:val="right"/>
              <w:rPr>
                <w:rFonts w:ascii="Arial" w:hAnsi="Arial"/>
                <w:smallCaps/>
                <w:color w:val="000000" w:themeColor="text1"/>
                <w:lang w:val="fr-CH"/>
              </w:rPr>
            </w:pPr>
          </w:p>
        </w:tc>
      </w:tr>
    </w:tbl>
    <w:p w14:paraId="552BEF5B" w14:textId="77777777" w:rsidR="003B3AE9" w:rsidRPr="004D7C8E" w:rsidRDefault="003B3AE9" w:rsidP="37589110">
      <w:pPr>
        <w:tabs>
          <w:tab w:val="right" w:pos="9356"/>
        </w:tabs>
        <w:spacing w:line="259" w:lineRule="auto"/>
        <w:contextualSpacing/>
        <w:rPr>
          <w:rFonts w:ascii="Arial" w:hAnsi="Arial"/>
          <w:b/>
          <w:bCs/>
          <w:color w:val="000000" w:themeColor="text1"/>
          <w:lang w:val="fr-CH"/>
        </w:rPr>
      </w:pPr>
    </w:p>
    <w:tbl>
      <w:tblPr>
        <w:tblW w:w="5000" w:type="pct"/>
        <w:tblLook w:val="0000" w:firstRow="0" w:lastRow="0" w:firstColumn="0" w:lastColumn="0" w:noHBand="0" w:noVBand="0"/>
      </w:tblPr>
      <w:tblGrid>
        <w:gridCol w:w="5529"/>
        <w:gridCol w:w="3826"/>
      </w:tblGrid>
      <w:tr w:rsidR="00E6791B" w:rsidRPr="00364525" w14:paraId="7DDE754E" w14:textId="77777777" w:rsidTr="51F8B297">
        <w:trPr>
          <w:cantSplit/>
        </w:trPr>
        <w:tc>
          <w:tcPr>
            <w:tcW w:w="2955" w:type="pct"/>
          </w:tcPr>
          <w:p w14:paraId="0690216F" w14:textId="236040D6" w:rsidR="00E6791B" w:rsidRPr="00364525" w:rsidRDefault="00B70ABB" w:rsidP="37589110">
            <w:pPr>
              <w:tabs>
                <w:tab w:val="left" w:pos="2763"/>
                <w:tab w:val="right" w:pos="4536"/>
              </w:tabs>
              <w:spacing w:line="259" w:lineRule="auto"/>
              <w:ind w:right="33"/>
              <w:contextualSpacing/>
              <w:rPr>
                <w:rFonts w:ascii="Arial" w:hAnsi="Arial"/>
                <w:b/>
                <w:bCs/>
                <w:color w:val="000000" w:themeColor="text1"/>
                <w:sz w:val="22"/>
                <w:szCs w:val="22"/>
                <w:lang w:val="en-GB"/>
              </w:rPr>
            </w:pPr>
            <w:r w:rsidRPr="37589110">
              <w:rPr>
                <w:rFonts w:ascii="Arial" w:hAnsi="Arial"/>
                <w:b/>
                <w:bCs/>
                <w:color w:val="000000" w:themeColor="text1"/>
                <w:sz w:val="22"/>
                <w:szCs w:val="22"/>
                <w:lang w:val="en-GB"/>
              </w:rPr>
              <w:t>Twelfth</w:t>
            </w:r>
            <w:r w:rsidR="00E6791B" w:rsidRPr="37589110">
              <w:rPr>
                <w:rFonts w:ascii="Arial" w:hAnsi="Arial"/>
                <w:b/>
                <w:bCs/>
                <w:color w:val="000000" w:themeColor="text1"/>
                <w:sz w:val="22"/>
                <w:szCs w:val="22"/>
                <w:lang w:val="en-GB"/>
              </w:rPr>
              <w:t xml:space="preserve"> meeting of the European Environment and Health Task Force (EHTF)</w:t>
            </w:r>
            <w:r w:rsidRPr="37589110">
              <w:rPr>
                <w:rFonts w:ascii="Arial" w:hAnsi="Arial"/>
                <w:b/>
                <w:bCs/>
                <w:color w:val="000000" w:themeColor="text1"/>
                <w:sz w:val="22"/>
                <w:szCs w:val="22"/>
                <w:lang w:val="en-GB"/>
              </w:rPr>
              <w:t xml:space="preserve"> Bureau</w:t>
            </w:r>
          </w:p>
        </w:tc>
        <w:tc>
          <w:tcPr>
            <w:tcW w:w="2045" w:type="pct"/>
          </w:tcPr>
          <w:p w14:paraId="625F5220" w14:textId="4C700CEC" w:rsidR="00E6791B" w:rsidRPr="00364525" w:rsidRDefault="00E6791B" w:rsidP="37589110">
            <w:pPr>
              <w:tabs>
                <w:tab w:val="left" w:pos="2763"/>
                <w:tab w:val="right" w:pos="4536"/>
              </w:tabs>
              <w:spacing w:line="259" w:lineRule="auto"/>
              <w:ind w:right="33"/>
              <w:contextualSpacing/>
              <w:jc w:val="right"/>
              <w:rPr>
                <w:rFonts w:ascii="Arial" w:hAnsi="Arial"/>
                <w:b/>
                <w:bCs/>
                <w:color w:val="000000" w:themeColor="text1"/>
                <w:sz w:val="22"/>
                <w:szCs w:val="22"/>
                <w:lang w:val="en-GB"/>
              </w:rPr>
            </w:pPr>
            <w:r w:rsidRPr="37589110">
              <w:rPr>
                <w:rFonts w:ascii="Arial" w:hAnsi="Arial"/>
                <w:b/>
                <w:bCs/>
                <w:color w:val="000000" w:themeColor="text1"/>
                <w:sz w:val="22"/>
                <w:szCs w:val="22"/>
                <w:lang w:val="en-GB"/>
              </w:rPr>
              <w:t>EURO/EHTF</w:t>
            </w:r>
            <w:r w:rsidR="68601732" w:rsidRPr="37589110">
              <w:rPr>
                <w:rFonts w:ascii="Arial" w:hAnsi="Arial"/>
                <w:b/>
                <w:bCs/>
                <w:color w:val="000000" w:themeColor="text1"/>
                <w:sz w:val="22"/>
                <w:szCs w:val="22"/>
                <w:lang w:val="en-GB"/>
              </w:rPr>
              <w:t>B</w:t>
            </w:r>
            <w:r w:rsidRPr="37589110">
              <w:rPr>
                <w:rFonts w:ascii="Arial" w:hAnsi="Arial"/>
                <w:b/>
                <w:bCs/>
                <w:color w:val="000000" w:themeColor="text1"/>
                <w:sz w:val="22"/>
                <w:szCs w:val="22"/>
                <w:lang w:val="en-GB"/>
              </w:rPr>
              <w:t>1</w:t>
            </w:r>
            <w:r w:rsidR="00B70ABB" w:rsidRPr="37589110">
              <w:rPr>
                <w:rFonts w:ascii="Arial" w:hAnsi="Arial"/>
                <w:b/>
                <w:bCs/>
                <w:color w:val="000000" w:themeColor="text1"/>
                <w:sz w:val="22"/>
                <w:szCs w:val="22"/>
                <w:lang w:val="en-GB"/>
              </w:rPr>
              <w:t>2</w:t>
            </w:r>
            <w:r w:rsidRPr="37589110">
              <w:rPr>
                <w:rFonts w:ascii="Arial" w:hAnsi="Arial"/>
                <w:b/>
                <w:bCs/>
                <w:color w:val="000000" w:themeColor="text1"/>
                <w:sz w:val="22"/>
                <w:szCs w:val="22"/>
                <w:lang w:val="en-GB"/>
              </w:rPr>
              <w:t>/</w:t>
            </w:r>
            <w:r w:rsidR="008E2D11">
              <w:rPr>
                <w:rFonts w:ascii="Arial" w:hAnsi="Arial"/>
                <w:b/>
                <w:bCs/>
                <w:color w:val="000000" w:themeColor="text1"/>
                <w:sz w:val="22"/>
                <w:szCs w:val="22"/>
                <w:lang w:val="en-GB"/>
              </w:rPr>
              <w:t>6</w:t>
            </w:r>
          </w:p>
        </w:tc>
      </w:tr>
      <w:tr w:rsidR="00E6791B" w:rsidRPr="00364525" w14:paraId="06EFD0BE" w14:textId="77777777" w:rsidTr="51F8B297">
        <w:trPr>
          <w:cantSplit/>
        </w:trPr>
        <w:tc>
          <w:tcPr>
            <w:tcW w:w="2955" w:type="pct"/>
          </w:tcPr>
          <w:p w14:paraId="5A472FD0" w14:textId="77777777" w:rsidR="00E6791B" w:rsidRPr="00364525" w:rsidRDefault="00E6791B" w:rsidP="37589110">
            <w:pPr>
              <w:tabs>
                <w:tab w:val="left" w:pos="2763"/>
                <w:tab w:val="right" w:pos="4536"/>
              </w:tabs>
              <w:spacing w:line="259" w:lineRule="auto"/>
              <w:ind w:right="33"/>
              <w:contextualSpacing/>
              <w:rPr>
                <w:rFonts w:ascii="Arial" w:hAnsi="Arial"/>
                <w:b/>
                <w:bCs/>
                <w:color w:val="000000" w:themeColor="text1"/>
                <w:sz w:val="22"/>
                <w:szCs w:val="22"/>
                <w:lang w:val="en-GB"/>
              </w:rPr>
            </w:pPr>
          </w:p>
        </w:tc>
        <w:tc>
          <w:tcPr>
            <w:tcW w:w="2045" w:type="pct"/>
          </w:tcPr>
          <w:p w14:paraId="78022FC7" w14:textId="77777777" w:rsidR="00E6791B" w:rsidRPr="00364525" w:rsidRDefault="00E6791B" w:rsidP="37589110">
            <w:pPr>
              <w:tabs>
                <w:tab w:val="left" w:pos="2763"/>
                <w:tab w:val="right" w:pos="4536"/>
              </w:tabs>
              <w:spacing w:line="259" w:lineRule="auto"/>
              <w:ind w:right="33"/>
              <w:contextualSpacing/>
              <w:jc w:val="right"/>
              <w:rPr>
                <w:rFonts w:ascii="Arial" w:hAnsi="Arial"/>
                <w:b/>
                <w:bCs/>
                <w:color w:val="000000" w:themeColor="text1"/>
                <w:sz w:val="22"/>
                <w:szCs w:val="22"/>
                <w:lang w:val="en-GB"/>
              </w:rPr>
            </w:pPr>
          </w:p>
        </w:tc>
      </w:tr>
      <w:tr w:rsidR="00E6791B" w:rsidRPr="00364525" w14:paraId="4ACEFAB2" w14:textId="77777777" w:rsidTr="51F8B297">
        <w:tc>
          <w:tcPr>
            <w:tcW w:w="2955" w:type="pct"/>
          </w:tcPr>
          <w:p w14:paraId="3927CEC8" w14:textId="6B7EF9C4" w:rsidR="00E6791B" w:rsidRPr="00364525" w:rsidRDefault="008E2D11" w:rsidP="008E2D11">
            <w:pPr>
              <w:spacing w:after="0" w:line="259" w:lineRule="auto"/>
              <w:contextualSpacing/>
              <w:rPr>
                <w:rFonts w:ascii="Arial" w:hAnsi="Arial"/>
                <w:b/>
                <w:bCs/>
                <w:color w:val="000000" w:themeColor="text1"/>
                <w:sz w:val="22"/>
                <w:szCs w:val="22"/>
                <w:lang w:val="en-GB"/>
              </w:rPr>
            </w:pPr>
            <w:r>
              <w:rPr>
                <w:rFonts w:ascii="Arial" w:hAnsi="Arial"/>
                <w:b/>
                <w:bCs/>
                <w:color w:val="000000" w:themeColor="text1"/>
                <w:sz w:val="22"/>
                <w:szCs w:val="22"/>
                <w:lang w:val="en-GB"/>
              </w:rPr>
              <w:t>Virtual</w:t>
            </w:r>
          </w:p>
        </w:tc>
        <w:tc>
          <w:tcPr>
            <w:tcW w:w="2045" w:type="pct"/>
          </w:tcPr>
          <w:p w14:paraId="4734AC9E" w14:textId="223A4198" w:rsidR="00E6791B" w:rsidRPr="00364525" w:rsidRDefault="64E14EA1" w:rsidP="37589110">
            <w:pPr>
              <w:tabs>
                <w:tab w:val="right" w:pos="3011"/>
                <w:tab w:val="right" w:pos="9571"/>
              </w:tabs>
              <w:spacing w:line="259" w:lineRule="auto"/>
              <w:contextualSpacing/>
              <w:jc w:val="right"/>
              <w:rPr>
                <w:rFonts w:ascii="Arial" w:hAnsi="Arial"/>
                <w:b/>
                <w:bCs/>
                <w:color w:val="000000" w:themeColor="text1"/>
                <w:sz w:val="22"/>
                <w:szCs w:val="22"/>
                <w:lang w:val="en-GB"/>
              </w:rPr>
            </w:pPr>
            <w:r w:rsidRPr="08477FFA">
              <w:rPr>
                <w:rFonts w:ascii="Arial" w:hAnsi="Arial"/>
                <w:b/>
                <w:bCs/>
                <w:color w:val="000000" w:themeColor="text1"/>
                <w:sz w:val="22"/>
                <w:szCs w:val="22"/>
                <w:lang w:val="en-GB"/>
              </w:rPr>
              <w:t>1</w:t>
            </w:r>
            <w:r w:rsidR="2B229CC7" w:rsidRPr="08477FFA">
              <w:rPr>
                <w:rFonts w:ascii="Arial" w:hAnsi="Arial"/>
                <w:b/>
                <w:bCs/>
                <w:color w:val="000000" w:themeColor="text1"/>
                <w:sz w:val="22"/>
                <w:szCs w:val="22"/>
                <w:lang w:val="en-GB"/>
              </w:rPr>
              <w:t>5</w:t>
            </w:r>
            <w:r w:rsidRPr="44FFBC67">
              <w:rPr>
                <w:rFonts w:ascii="Arial" w:hAnsi="Arial"/>
                <w:b/>
                <w:bCs/>
                <w:color w:val="000000" w:themeColor="text1"/>
                <w:sz w:val="22"/>
                <w:szCs w:val="22"/>
                <w:lang w:val="en-GB"/>
              </w:rPr>
              <w:t xml:space="preserve"> April</w:t>
            </w:r>
            <w:r w:rsidR="00B70ABB" w:rsidRPr="51F8B297">
              <w:rPr>
                <w:rFonts w:ascii="Arial" w:hAnsi="Arial"/>
                <w:b/>
                <w:bCs/>
                <w:color w:val="000000" w:themeColor="text1"/>
                <w:sz w:val="22"/>
                <w:szCs w:val="22"/>
                <w:lang w:val="en-GB"/>
              </w:rPr>
              <w:t xml:space="preserve"> </w:t>
            </w:r>
            <w:r w:rsidR="00C3739C" w:rsidRPr="51F8B297">
              <w:rPr>
                <w:rFonts w:ascii="Arial" w:hAnsi="Arial"/>
                <w:b/>
                <w:bCs/>
                <w:color w:val="000000" w:themeColor="text1"/>
                <w:sz w:val="22"/>
                <w:szCs w:val="22"/>
                <w:lang w:val="en-GB"/>
              </w:rPr>
              <w:t>202</w:t>
            </w:r>
            <w:r w:rsidR="008E2D11">
              <w:rPr>
                <w:rFonts w:ascii="Arial" w:hAnsi="Arial"/>
                <w:b/>
                <w:bCs/>
                <w:color w:val="000000" w:themeColor="text1"/>
                <w:sz w:val="22"/>
                <w:szCs w:val="22"/>
                <w:lang w:val="en-GB"/>
              </w:rPr>
              <w:t>4</w:t>
            </w:r>
          </w:p>
        </w:tc>
      </w:tr>
      <w:tr w:rsidR="00E6791B" w:rsidRPr="00364525" w14:paraId="160B3CAE" w14:textId="77777777" w:rsidTr="51F8B297">
        <w:tc>
          <w:tcPr>
            <w:tcW w:w="2955" w:type="pct"/>
          </w:tcPr>
          <w:p w14:paraId="01745B94" w14:textId="123FB53F" w:rsidR="00E6791B" w:rsidRPr="00364525" w:rsidRDefault="008E2D11" w:rsidP="37589110">
            <w:pPr>
              <w:spacing w:line="259" w:lineRule="auto"/>
              <w:contextualSpacing/>
              <w:rPr>
                <w:rFonts w:ascii="Arial" w:hAnsi="Arial"/>
                <w:b/>
                <w:bCs/>
                <w:color w:val="000000" w:themeColor="text1"/>
                <w:sz w:val="22"/>
                <w:szCs w:val="22"/>
                <w:lang w:val="en-GB"/>
              </w:rPr>
            </w:pPr>
            <w:r>
              <w:rPr>
                <w:rFonts w:ascii="Arial" w:hAnsi="Arial"/>
                <w:b/>
                <w:bCs/>
                <w:color w:val="000000" w:themeColor="text1"/>
                <w:sz w:val="22"/>
                <w:szCs w:val="22"/>
                <w:lang w:val="en-GB"/>
              </w:rPr>
              <w:t>22 April</w:t>
            </w:r>
            <w:r w:rsidR="00E6791B" w:rsidRPr="51F8B297">
              <w:rPr>
                <w:rFonts w:ascii="Arial" w:hAnsi="Arial"/>
                <w:b/>
                <w:bCs/>
                <w:color w:val="000000" w:themeColor="text1"/>
                <w:sz w:val="22"/>
                <w:szCs w:val="22"/>
                <w:lang w:val="en-GB"/>
              </w:rPr>
              <w:t xml:space="preserve"> 202</w:t>
            </w:r>
            <w:r w:rsidR="00B70ABB" w:rsidRPr="51F8B297">
              <w:rPr>
                <w:rFonts w:ascii="Arial" w:hAnsi="Arial"/>
                <w:b/>
                <w:bCs/>
                <w:color w:val="000000" w:themeColor="text1"/>
                <w:sz w:val="22"/>
                <w:szCs w:val="22"/>
                <w:lang w:val="en-GB"/>
              </w:rPr>
              <w:t>4</w:t>
            </w:r>
          </w:p>
        </w:tc>
        <w:tc>
          <w:tcPr>
            <w:tcW w:w="2045" w:type="pct"/>
          </w:tcPr>
          <w:p w14:paraId="67E9F93B" w14:textId="77777777" w:rsidR="00E6791B" w:rsidRPr="00364525" w:rsidRDefault="00E6791B" w:rsidP="37589110">
            <w:pPr>
              <w:tabs>
                <w:tab w:val="right" w:pos="9571"/>
              </w:tabs>
              <w:spacing w:line="259" w:lineRule="auto"/>
              <w:contextualSpacing/>
              <w:jc w:val="right"/>
              <w:rPr>
                <w:rFonts w:ascii="Arial" w:hAnsi="Arial"/>
                <w:b/>
                <w:bCs/>
                <w:color w:val="000000" w:themeColor="text1"/>
                <w:sz w:val="22"/>
                <w:szCs w:val="22"/>
                <w:lang w:val="en-GB"/>
              </w:rPr>
            </w:pPr>
            <w:r w:rsidRPr="37589110">
              <w:rPr>
                <w:rFonts w:ascii="Arial" w:hAnsi="Arial"/>
                <w:b/>
                <w:bCs/>
                <w:color w:val="000000" w:themeColor="text1"/>
                <w:sz w:val="22"/>
                <w:szCs w:val="22"/>
                <w:lang w:val="en-GB"/>
              </w:rPr>
              <w:t>Original: English</w:t>
            </w:r>
          </w:p>
        </w:tc>
      </w:tr>
    </w:tbl>
    <w:p w14:paraId="567ED62F" w14:textId="2745BEBD" w:rsidR="00B70ABB" w:rsidRPr="00B70ABB" w:rsidRDefault="00A20443" w:rsidP="37589110">
      <w:pPr>
        <w:spacing w:before="400" w:after="400" w:line="259" w:lineRule="auto"/>
        <w:jc w:val="center"/>
        <w:rPr>
          <w:rFonts w:ascii="Arial" w:hAnsi="Arial" w:cs="Arial"/>
          <w:b/>
          <w:bCs/>
          <w:color w:val="000000" w:themeColor="text1"/>
          <w:sz w:val="27"/>
          <w:szCs w:val="27"/>
          <w:lang w:val="en-GB"/>
        </w:rPr>
      </w:pPr>
      <w:r>
        <w:rPr>
          <w:rFonts w:ascii="Arial" w:hAnsi="Arial" w:cs="Arial"/>
          <w:b/>
          <w:bCs/>
          <w:color w:val="000000" w:themeColor="text1"/>
          <w:sz w:val="27"/>
          <w:szCs w:val="27"/>
          <w:lang w:val="en-GB"/>
        </w:rPr>
        <w:t>D</w:t>
      </w:r>
      <w:r w:rsidR="00B70ABB" w:rsidRPr="37589110">
        <w:rPr>
          <w:rFonts w:ascii="Arial" w:hAnsi="Arial" w:cs="Arial"/>
          <w:b/>
          <w:bCs/>
          <w:color w:val="000000" w:themeColor="text1"/>
          <w:sz w:val="27"/>
          <w:szCs w:val="27"/>
          <w:lang w:val="en-GB"/>
        </w:rPr>
        <w:t>raft Programme of Work for the European Environment and Health Task Force for 2024−2025</w:t>
      </w:r>
    </w:p>
    <w:tbl>
      <w:tblPr>
        <w:tblStyle w:val="TableGrid"/>
        <w:tblW w:w="0" w:type="auto"/>
        <w:tblInd w:w="360" w:type="dxa"/>
        <w:tblLook w:val="04A0" w:firstRow="1" w:lastRow="0" w:firstColumn="1" w:lastColumn="0" w:noHBand="0" w:noVBand="1"/>
      </w:tblPr>
      <w:tblGrid>
        <w:gridCol w:w="8985"/>
      </w:tblGrid>
      <w:tr w:rsidR="00B70ABB" w14:paraId="5B66C48F" w14:textId="77777777" w:rsidTr="51F8B297">
        <w:tc>
          <w:tcPr>
            <w:tcW w:w="9345" w:type="dxa"/>
          </w:tcPr>
          <w:p w14:paraId="3A6DAEC7" w14:textId="27D4AC41" w:rsidR="00117882" w:rsidRPr="00820333" w:rsidRDefault="00B70ABB" w:rsidP="37589110">
            <w:pPr>
              <w:spacing w:before="160" w:after="160" w:line="259" w:lineRule="auto"/>
              <w:jc w:val="both"/>
              <w:rPr>
                <w:rFonts w:ascii="Times New Roman" w:hAnsi="Times New Roman" w:cs="Times New Roman"/>
                <w:sz w:val="24"/>
                <w:szCs w:val="24"/>
              </w:rPr>
            </w:pPr>
            <w:r w:rsidRPr="51F8B297">
              <w:rPr>
                <w:rFonts w:ascii="Times New Roman" w:hAnsi="Times New Roman" w:cs="Times New Roman"/>
                <w:sz w:val="24"/>
                <w:szCs w:val="24"/>
              </w:rPr>
              <w:t xml:space="preserve">This document presents </w:t>
            </w:r>
            <w:r w:rsidR="0410926E" w:rsidRPr="51F8B297">
              <w:rPr>
                <w:rFonts w:ascii="Times New Roman" w:hAnsi="Times New Roman" w:cs="Times New Roman"/>
                <w:sz w:val="24"/>
                <w:szCs w:val="24"/>
              </w:rPr>
              <w:t>a</w:t>
            </w:r>
            <w:r w:rsidRPr="51F8B297">
              <w:rPr>
                <w:rFonts w:ascii="Times New Roman" w:hAnsi="Times New Roman" w:cs="Times New Roman"/>
                <w:sz w:val="24"/>
                <w:szCs w:val="24"/>
              </w:rPr>
              <w:t xml:space="preserve"> </w:t>
            </w:r>
            <w:r w:rsidR="5FBCC114" w:rsidRPr="51F8B297">
              <w:rPr>
                <w:rFonts w:ascii="Times New Roman" w:hAnsi="Times New Roman" w:cs="Times New Roman"/>
                <w:sz w:val="24"/>
                <w:szCs w:val="24"/>
              </w:rPr>
              <w:t xml:space="preserve">proposal for the biennial </w:t>
            </w:r>
            <w:r w:rsidRPr="51F8B297">
              <w:rPr>
                <w:rFonts w:ascii="Times New Roman" w:hAnsi="Times New Roman" w:cs="Times New Roman"/>
                <w:sz w:val="24"/>
                <w:szCs w:val="24"/>
              </w:rPr>
              <w:t>Programme of Work (</w:t>
            </w:r>
            <w:proofErr w:type="spellStart"/>
            <w:r w:rsidRPr="51F8B297">
              <w:rPr>
                <w:rFonts w:ascii="Times New Roman" w:hAnsi="Times New Roman" w:cs="Times New Roman"/>
                <w:sz w:val="24"/>
                <w:szCs w:val="24"/>
              </w:rPr>
              <w:t>PoW</w:t>
            </w:r>
            <w:proofErr w:type="spellEnd"/>
            <w:r w:rsidRPr="51F8B297">
              <w:rPr>
                <w:rFonts w:ascii="Times New Roman" w:hAnsi="Times New Roman" w:cs="Times New Roman"/>
                <w:sz w:val="24"/>
                <w:szCs w:val="24"/>
              </w:rPr>
              <w:t xml:space="preserve">) for the European Environment and Health Task Force (EHTF) </w:t>
            </w:r>
            <w:r w:rsidR="098A6B6F" w:rsidRPr="51F8B297">
              <w:rPr>
                <w:rFonts w:ascii="Times New Roman" w:hAnsi="Times New Roman" w:cs="Times New Roman"/>
                <w:sz w:val="24"/>
                <w:szCs w:val="24"/>
              </w:rPr>
              <w:t>and its Bureau in</w:t>
            </w:r>
            <w:r w:rsidRPr="51F8B297">
              <w:rPr>
                <w:rFonts w:ascii="Times New Roman" w:hAnsi="Times New Roman" w:cs="Times New Roman"/>
                <w:sz w:val="24"/>
                <w:szCs w:val="24"/>
              </w:rPr>
              <w:t xml:space="preserve"> 2024−2025. Th</w:t>
            </w:r>
            <w:r w:rsidR="00747B58" w:rsidRPr="51F8B297">
              <w:rPr>
                <w:rFonts w:ascii="Times New Roman" w:hAnsi="Times New Roman" w:cs="Times New Roman"/>
                <w:sz w:val="24"/>
                <w:szCs w:val="24"/>
              </w:rPr>
              <w:t>e</w:t>
            </w:r>
            <w:r w:rsidRPr="51F8B297">
              <w:rPr>
                <w:rFonts w:ascii="Times New Roman" w:hAnsi="Times New Roman" w:cs="Times New Roman"/>
                <w:sz w:val="24"/>
                <w:szCs w:val="24"/>
              </w:rPr>
              <w:t xml:space="preserve"> programme sets out the </w:t>
            </w:r>
            <w:r w:rsidR="7A9FCED5" w:rsidRPr="51F8B297">
              <w:rPr>
                <w:rFonts w:ascii="Times New Roman" w:hAnsi="Times New Roman" w:cs="Times New Roman"/>
                <w:sz w:val="24"/>
                <w:szCs w:val="24"/>
              </w:rPr>
              <w:t>EHTF</w:t>
            </w:r>
            <w:r w:rsidRPr="51F8B297">
              <w:rPr>
                <w:rFonts w:ascii="Times New Roman" w:hAnsi="Times New Roman" w:cs="Times New Roman"/>
                <w:sz w:val="24"/>
                <w:szCs w:val="24"/>
              </w:rPr>
              <w:t xml:space="preserve"> </w:t>
            </w:r>
            <w:r w:rsidR="008F063E" w:rsidRPr="51F8B297">
              <w:rPr>
                <w:rFonts w:ascii="Times New Roman" w:hAnsi="Times New Roman" w:cs="Times New Roman"/>
                <w:sz w:val="24"/>
                <w:szCs w:val="24"/>
              </w:rPr>
              <w:t>agenda</w:t>
            </w:r>
            <w:r w:rsidRPr="51F8B297">
              <w:rPr>
                <w:rFonts w:ascii="Times New Roman" w:hAnsi="Times New Roman" w:cs="Times New Roman"/>
                <w:sz w:val="24"/>
                <w:szCs w:val="24"/>
              </w:rPr>
              <w:t>, focus</w:t>
            </w:r>
            <w:r w:rsidR="00812E8C" w:rsidRPr="51F8B297">
              <w:rPr>
                <w:rFonts w:ascii="Times New Roman" w:hAnsi="Times New Roman" w:cs="Times New Roman"/>
                <w:sz w:val="24"/>
                <w:szCs w:val="24"/>
              </w:rPr>
              <w:t>ing</w:t>
            </w:r>
            <w:r w:rsidRPr="51F8B297">
              <w:rPr>
                <w:rFonts w:ascii="Times New Roman" w:hAnsi="Times New Roman" w:cs="Times New Roman"/>
                <w:sz w:val="24"/>
                <w:szCs w:val="24"/>
              </w:rPr>
              <w:t xml:space="preserve"> on the strategic objectives outlined in the Declaration of the Seventh Ministerial Conference on Environment and Health</w:t>
            </w:r>
            <w:r w:rsidR="008E2D11">
              <w:rPr>
                <w:rFonts w:ascii="Times New Roman" w:hAnsi="Times New Roman" w:cs="Times New Roman"/>
                <w:sz w:val="24"/>
                <w:szCs w:val="24"/>
              </w:rPr>
              <w:t xml:space="preserve"> and its </w:t>
            </w:r>
            <w:r w:rsidR="00117882" w:rsidRPr="00117882">
              <w:rPr>
                <w:rFonts w:ascii="Times New Roman" w:hAnsi="Times New Roman" w:cs="Times New Roman"/>
                <w:sz w:val="24"/>
                <w:szCs w:val="24"/>
              </w:rPr>
              <w:t>“Roadmap for Healthier People, a Thriving Planet and a Sustainable Future 2023</w:t>
            </w:r>
            <w:r w:rsidR="009B1531">
              <w:rPr>
                <w:rFonts w:ascii="Symbol" w:eastAsia="Symbol" w:hAnsi="Symbol" w:cs="Symbol"/>
                <w:sz w:val="24"/>
                <w:szCs w:val="24"/>
              </w:rPr>
              <w:t>-</w:t>
            </w:r>
            <w:r w:rsidR="00117882" w:rsidRPr="00117882">
              <w:rPr>
                <w:rFonts w:ascii="Times New Roman" w:hAnsi="Times New Roman" w:cs="Times New Roman"/>
                <w:sz w:val="24"/>
                <w:szCs w:val="24"/>
              </w:rPr>
              <w:t>2030”</w:t>
            </w:r>
            <w:r w:rsidRPr="51F8B297">
              <w:rPr>
                <w:rFonts w:ascii="Times New Roman" w:hAnsi="Times New Roman" w:cs="Times New Roman"/>
                <w:sz w:val="24"/>
                <w:szCs w:val="24"/>
              </w:rPr>
              <w:t>, adopted by the Member States of the WHO European Region in Budapest, Hungary (5</w:t>
            </w:r>
            <w:r w:rsidRPr="51F8B297">
              <w:rPr>
                <w:rFonts w:ascii="Symbol" w:eastAsia="Symbol" w:hAnsi="Symbol" w:cs="Symbol"/>
                <w:sz w:val="24"/>
                <w:szCs w:val="24"/>
              </w:rPr>
              <w:t>-</w:t>
            </w:r>
            <w:r w:rsidRPr="51F8B297">
              <w:rPr>
                <w:rFonts w:ascii="Times New Roman" w:hAnsi="Times New Roman" w:cs="Times New Roman"/>
                <w:sz w:val="24"/>
                <w:szCs w:val="24"/>
              </w:rPr>
              <w:t>7 July 2023).</w:t>
            </w:r>
          </w:p>
          <w:p w14:paraId="01E5792F" w14:textId="13024185" w:rsidR="00B70ABB" w:rsidRDefault="00B70ABB" w:rsidP="37589110">
            <w:pPr>
              <w:widowControl w:val="0"/>
              <w:spacing w:before="120" w:after="120" w:line="259" w:lineRule="auto"/>
              <w:jc w:val="both"/>
              <w:rPr>
                <w:rFonts w:ascii="Times New Roman" w:hAnsi="Times New Roman" w:cs="Times New Roman"/>
                <w:sz w:val="24"/>
                <w:szCs w:val="24"/>
              </w:rPr>
            </w:pPr>
            <w:r w:rsidRPr="37589110">
              <w:rPr>
                <w:rFonts w:ascii="Times New Roman" w:hAnsi="Times New Roman" w:cs="Times New Roman"/>
                <w:sz w:val="24"/>
                <w:szCs w:val="24"/>
              </w:rPr>
              <w:t xml:space="preserve">This </w:t>
            </w:r>
            <w:proofErr w:type="spellStart"/>
            <w:r w:rsidRPr="37589110">
              <w:rPr>
                <w:rFonts w:ascii="Times New Roman" w:hAnsi="Times New Roman" w:cs="Times New Roman"/>
                <w:sz w:val="24"/>
                <w:szCs w:val="24"/>
              </w:rPr>
              <w:t>PoW</w:t>
            </w:r>
            <w:proofErr w:type="spellEnd"/>
            <w:r w:rsidRPr="37589110">
              <w:rPr>
                <w:rFonts w:ascii="Times New Roman" w:hAnsi="Times New Roman" w:cs="Times New Roman"/>
                <w:sz w:val="24"/>
                <w:szCs w:val="24"/>
              </w:rPr>
              <w:t xml:space="preserve"> </w:t>
            </w:r>
            <w:r w:rsidR="008F063E">
              <w:rPr>
                <w:rFonts w:ascii="Times New Roman" w:hAnsi="Times New Roman" w:cs="Times New Roman"/>
                <w:sz w:val="24"/>
                <w:szCs w:val="24"/>
              </w:rPr>
              <w:t>has been</w:t>
            </w:r>
            <w:r w:rsidRPr="37589110">
              <w:rPr>
                <w:rFonts w:ascii="Times New Roman" w:hAnsi="Times New Roman" w:cs="Times New Roman"/>
                <w:sz w:val="24"/>
                <w:szCs w:val="24"/>
              </w:rPr>
              <w:t xml:space="preserve"> prepared by the EHP Secretariat in consultation with the Chair</w:t>
            </w:r>
            <w:r w:rsidR="00C17177">
              <w:rPr>
                <w:rFonts w:ascii="Times New Roman" w:hAnsi="Times New Roman" w:cs="Times New Roman"/>
                <w:sz w:val="24"/>
                <w:szCs w:val="24"/>
              </w:rPr>
              <w:t xml:space="preserve"> and</w:t>
            </w:r>
            <w:r w:rsidRPr="37589110">
              <w:rPr>
                <w:rFonts w:ascii="Times New Roman" w:hAnsi="Times New Roman" w:cs="Times New Roman"/>
                <w:sz w:val="24"/>
                <w:szCs w:val="24"/>
              </w:rPr>
              <w:t xml:space="preserve"> co-Chair of the EHTF and </w:t>
            </w:r>
            <w:r w:rsidR="00407C16">
              <w:rPr>
                <w:rFonts w:ascii="Times New Roman" w:hAnsi="Times New Roman" w:cs="Times New Roman"/>
                <w:sz w:val="24"/>
                <w:szCs w:val="24"/>
              </w:rPr>
              <w:t xml:space="preserve">is </w:t>
            </w:r>
            <w:r w:rsidRPr="37589110">
              <w:rPr>
                <w:rFonts w:ascii="Times New Roman" w:hAnsi="Times New Roman" w:cs="Times New Roman"/>
                <w:sz w:val="24"/>
                <w:szCs w:val="24"/>
              </w:rPr>
              <w:t xml:space="preserve">submitted </w:t>
            </w:r>
            <w:r w:rsidR="00C17177">
              <w:rPr>
                <w:rFonts w:ascii="Times New Roman" w:hAnsi="Times New Roman" w:cs="Times New Roman"/>
                <w:sz w:val="24"/>
                <w:szCs w:val="24"/>
              </w:rPr>
              <w:t xml:space="preserve">to the </w:t>
            </w:r>
            <w:r w:rsidRPr="37589110">
              <w:rPr>
                <w:rFonts w:ascii="Times New Roman" w:hAnsi="Times New Roman" w:cs="Times New Roman"/>
                <w:sz w:val="24"/>
                <w:szCs w:val="24"/>
              </w:rPr>
              <w:t xml:space="preserve">EHTF </w:t>
            </w:r>
            <w:r w:rsidR="00C17177">
              <w:rPr>
                <w:rFonts w:ascii="Times New Roman" w:hAnsi="Times New Roman" w:cs="Times New Roman"/>
                <w:sz w:val="24"/>
                <w:szCs w:val="24"/>
              </w:rPr>
              <w:t xml:space="preserve">Bureau </w:t>
            </w:r>
            <w:r w:rsidR="007F49DE">
              <w:rPr>
                <w:rFonts w:ascii="Times New Roman" w:hAnsi="Times New Roman" w:cs="Times New Roman"/>
                <w:sz w:val="24"/>
                <w:szCs w:val="24"/>
              </w:rPr>
              <w:t>for discussion at</w:t>
            </w:r>
            <w:r w:rsidRPr="37589110">
              <w:rPr>
                <w:rFonts w:ascii="Times New Roman" w:hAnsi="Times New Roman" w:cs="Times New Roman"/>
                <w:sz w:val="24"/>
                <w:szCs w:val="24"/>
              </w:rPr>
              <w:t xml:space="preserve"> its </w:t>
            </w:r>
            <w:r w:rsidR="006C16A0">
              <w:rPr>
                <w:rFonts w:ascii="Times New Roman" w:hAnsi="Times New Roman" w:cs="Times New Roman"/>
                <w:sz w:val="24"/>
                <w:szCs w:val="24"/>
              </w:rPr>
              <w:t>twelfth</w:t>
            </w:r>
            <w:r w:rsidRPr="37589110">
              <w:rPr>
                <w:rFonts w:ascii="Times New Roman" w:hAnsi="Times New Roman" w:cs="Times New Roman"/>
                <w:sz w:val="24"/>
                <w:szCs w:val="24"/>
              </w:rPr>
              <w:t xml:space="preserve"> meeting.</w:t>
            </w:r>
          </w:p>
        </w:tc>
      </w:tr>
    </w:tbl>
    <w:p w14:paraId="55D3AEE6" w14:textId="4848F30C" w:rsidR="00B70ABB" w:rsidRPr="00820333" w:rsidRDefault="00B70ABB" w:rsidP="37589110">
      <w:pPr>
        <w:spacing w:line="259" w:lineRule="auto"/>
        <w:rPr>
          <w:lang w:val="en-GB"/>
        </w:rPr>
      </w:pPr>
      <w:r w:rsidRPr="37589110">
        <w:rPr>
          <w:lang w:val="en-GB"/>
        </w:rPr>
        <w:br w:type="page"/>
      </w:r>
    </w:p>
    <w:sdt>
      <w:sdtPr>
        <w:rPr>
          <w:rFonts w:asciiTheme="minorHAnsi" w:eastAsiaTheme="minorEastAsia" w:hAnsiTheme="minorHAnsi" w:cstheme="minorBidi"/>
          <w:b w:val="0"/>
          <w:caps w:val="0"/>
          <w:color w:val="auto"/>
          <w:spacing w:val="0"/>
          <w:sz w:val="21"/>
          <w:szCs w:val="21"/>
        </w:rPr>
        <w:id w:val="1843203645"/>
        <w:docPartObj>
          <w:docPartGallery w:val="Table of Contents"/>
          <w:docPartUnique/>
        </w:docPartObj>
      </w:sdtPr>
      <w:sdtContent>
        <w:p w14:paraId="51FCD17E" w14:textId="79ABBA79" w:rsidR="00780AE9" w:rsidRPr="005049BC" w:rsidRDefault="00780AE9">
          <w:pPr>
            <w:pStyle w:val="TOCHeading"/>
            <w:rPr>
              <w:rFonts w:ascii="Times New Roman" w:hAnsi="Times New Roman" w:cs="Times New Roman"/>
              <w:sz w:val="24"/>
              <w:szCs w:val="24"/>
            </w:rPr>
          </w:pPr>
          <w:r w:rsidRPr="005049BC">
            <w:rPr>
              <w:rFonts w:ascii="Times New Roman" w:hAnsi="Times New Roman" w:cs="Times New Roman"/>
              <w:sz w:val="24"/>
              <w:szCs w:val="24"/>
            </w:rPr>
            <w:t>Contents</w:t>
          </w:r>
        </w:p>
        <w:p w14:paraId="102FAC04" w14:textId="321123A6" w:rsidR="000D45A8" w:rsidRPr="005049BC" w:rsidRDefault="008604F0">
          <w:pPr>
            <w:pStyle w:val="TOC1"/>
            <w:rPr>
              <w:rFonts w:ascii="Times New Roman" w:hAnsi="Times New Roman" w:cs="Times New Roman"/>
              <w:b w:val="0"/>
              <w:bCs w:val="0"/>
              <w:kern w:val="2"/>
              <w:sz w:val="24"/>
              <w:szCs w:val="24"/>
              <w14:ligatures w14:val="standardContextual"/>
            </w:rPr>
          </w:pPr>
          <w:r w:rsidRPr="005049BC">
            <w:rPr>
              <w:rFonts w:ascii="Times New Roman" w:hAnsi="Times New Roman" w:cs="Times New Roman"/>
              <w:sz w:val="24"/>
              <w:szCs w:val="24"/>
            </w:rPr>
            <w:fldChar w:fldCharType="begin"/>
          </w:r>
          <w:r w:rsidR="00635F62" w:rsidRPr="005049BC">
            <w:rPr>
              <w:rFonts w:ascii="Times New Roman" w:hAnsi="Times New Roman" w:cs="Times New Roman"/>
              <w:sz w:val="24"/>
              <w:szCs w:val="24"/>
            </w:rPr>
            <w:instrText>TOC \o "1-3" \h \z \u</w:instrText>
          </w:r>
          <w:r w:rsidRPr="005049BC">
            <w:rPr>
              <w:rFonts w:ascii="Times New Roman" w:hAnsi="Times New Roman" w:cs="Times New Roman"/>
              <w:sz w:val="24"/>
              <w:szCs w:val="24"/>
            </w:rPr>
            <w:fldChar w:fldCharType="separate"/>
          </w:r>
          <w:hyperlink w:anchor="_Toc164096692" w:history="1">
            <w:r w:rsidR="000D45A8" w:rsidRPr="005049BC">
              <w:rPr>
                <w:rStyle w:val="Hyperlink"/>
                <w:rFonts w:ascii="Times New Roman" w:hAnsi="Times New Roman" w:cs="Times New Roman"/>
                <w:sz w:val="24"/>
                <w:szCs w:val="24"/>
                <w:lang w:val="en-GB"/>
              </w:rPr>
              <w:t>1. Background</w:t>
            </w:r>
            <w:r w:rsidR="000D45A8" w:rsidRPr="005049BC">
              <w:rPr>
                <w:rFonts w:ascii="Times New Roman" w:hAnsi="Times New Roman" w:cs="Times New Roman"/>
                <w:webHidden/>
                <w:sz w:val="24"/>
                <w:szCs w:val="24"/>
              </w:rPr>
              <w:tab/>
            </w:r>
            <w:r w:rsidR="000D45A8" w:rsidRPr="005049BC">
              <w:rPr>
                <w:rFonts w:ascii="Times New Roman" w:hAnsi="Times New Roman" w:cs="Times New Roman"/>
                <w:webHidden/>
                <w:sz w:val="24"/>
                <w:szCs w:val="24"/>
              </w:rPr>
              <w:fldChar w:fldCharType="begin"/>
            </w:r>
            <w:r w:rsidR="000D45A8" w:rsidRPr="005049BC">
              <w:rPr>
                <w:rFonts w:ascii="Times New Roman" w:hAnsi="Times New Roman" w:cs="Times New Roman"/>
                <w:webHidden/>
                <w:sz w:val="24"/>
                <w:szCs w:val="24"/>
              </w:rPr>
              <w:instrText xml:space="preserve"> PAGEREF _Toc164096692 \h </w:instrText>
            </w:r>
            <w:r w:rsidR="000D45A8" w:rsidRPr="005049BC">
              <w:rPr>
                <w:rFonts w:ascii="Times New Roman" w:hAnsi="Times New Roman" w:cs="Times New Roman"/>
                <w:webHidden/>
                <w:sz w:val="24"/>
                <w:szCs w:val="24"/>
              </w:rPr>
            </w:r>
            <w:r w:rsidR="000D45A8"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1</w:t>
            </w:r>
            <w:r w:rsidR="000D45A8" w:rsidRPr="005049BC">
              <w:rPr>
                <w:rFonts w:ascii="Times New Roman" w:hAnsi="Times New Roman" w:cs="Times New Roman"/>
                <w:webHidden/>
                <w:sz w:val="24"/>
                <w:szCs w:val="24"/>
              </w:rPr>
              <w:fldChar w:fldCharType="end"/>
            </w:r>
          </w:hyperlink>
        </w:p>
        <w:p w14:paraId="0FE6BF1E" w14:textId="7165DE2D"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693" w:history="1">
            <w:r w:rsidRPr="005049BC">
              <w:rPr>
                <w:rStyle w:val="Hyperlink"/>
                <w:rFonts w:ascii="Times New Roman" w:hAnsi="Times New Roman" w:cs="Times New Roman"/>
                <w:noProof/>
                <w:sz w:val="24"/>
                <w:szCs w:val="24"/>
                <w:lang w:val="en-GB"/>
              </w:rPr>
              <w:t>1.1 Introduction</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_Toc164096693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1</w:t>
            </w:r>
            <w:r w:rsidRPr="005049BC">
              <w:rPr>
                <w:rFonts w:ascii="Times New Roman" w:hAnsi="Times New Roman" w:cs="Times New Roman"/>
                <w:noProof/>
                <w:webHidden/>
                <w:sz w:val="24"/>
                <w:szCs w:val="24"/>
              </w:rPr>
              <w:fldChar w:fldCharType="end"/>
            </w:r>
          </w:hyperlink>
        </w:p>
        <w:p w14:paraId="223E9514" w14:textId="3C8EE78F"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694" w:history="1">
            <w:r w:rsidRPr="005049BC">
              <w:rPr>
                <w:rStyle w:val="Hyperlink"/>
                <w:rFonts w:ascii="Times New Roman" w:hAnsi="Times New Roman" w:cs="Times New Roman"/>
                <w:noProof/>
                <w:sz w:val="24"/>
                <w:szCs w:val="24"/>
                <w:lang w:val="en-GB"/>
              </w:rPr>
              <w:t>1.2</w:t>
            </w:r>
            <w:r w:rsidRPr="005049BC">
              <w:rPr>
                <w:rFonts w:ascii="Times New Roman" w:hAnsi="Times New Roman" w:cs="Times New Roman"/>
                <w:noProof/>
                <w:kern w:val="2"/>
                <w:sz w:val="24"/>
                <w:szCs w:val="24"/>
                <w:lang w:val="en-US"/>
                <w14:ligatures w14:val="standardContextual"/>
              </w:rPr>
              <w:t xml:space="preserve"> </w:t>
            </w:r>
            <w:r w:rsidRPr="005049BC">
              <w:rPr>
                <w:rStyle w:val="Hyperlink"/>
                <w:rFonts w:ascii="Times New Roman" w:hAnsi="Times New Roman" w:cs="Times New Roman"/>
                <w:noProof/>
                <w:sz w:val="24"/>
                <w:szCs w:val="24"/>
                <w:lang w:val="en-GB"/>
              </w:rPr>
              <w:t>The Budapest Declaration</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_Toc164096694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2</w:t>
            </w:r>
            <w:r w:rsidRPr="005049BC">
              <w:rPr>
                <w:rFonts w:ascii="Times New Roman" w:hAnsi="Times New Roman" w:cs="Times New Roman"/>
                <w:noProof/>
                <w:webHidden/>
                <w:sz w:val="24"/>
                <w:szCs w:val="24"/>
              </w:rPr>
              <w:fldChar w:fldCharType="end"/>
            </w:r>
          </w:hyperlink>
        </w:p>
        <w:p w14:paraId="55E9D610" w14:textId="744BB104"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695" w:history="1">
            <w:r w:rsidRPr="005049BC">
              <w:rPr>
                <w:rStyle w:val="Hyperlink"/>
                <w:rFonts w:ascii="Times New Roman" w:hAnsi="Times New Roman" w:cs="Times New Roman"/>
                <w:sz w:val="24"/>
                <w:szCs w:val="24"/>
                <w:lang w:val="en-GB"/>
              </w:rPr>
              <w:t>2. Meetings of the EHTF and related bodies</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_Toc164096695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2</w:t>
            </w:r>
            <w:r w:rsidRPr="005049BC">
              <w:rPr>
                <w:rFonts w:ascii="Times New Roman" w:hAnsi="Times New Roman" w:cs="Times New Roman"/>
                <w:webHidden/>
                <w:sz w:val="24"/>
                <w:szCs w:val="24"/>
              </w:rPr>
              <w:fldChar w:fldCharType="end"/>
            </w:r>
          </w:hyperlink>
        </w:p>
        <w:p w14:paraId="06C60DB1" w14:textId="31FEE2C4"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696" w:history="1">
            <w:r w:rsidRPr="005049BC">
              <w:rPr>
                <w:rStyle w:val="Hyperlink"/>
                <w:rFonts w:ascii="Times New Roman" w:hAnsi="Times New Roman" w:cs="Times New Roman"/>
                <w:noProof/>
                <w:sz w:val="24"/>
                <w:szCs w:val="24"/>
                <w:lang w:val="en-GB"/>
              </w:rPr>
              <w:t>2.1. Meetings of the EHTF and its Bureau</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_Toc164096696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2</w:t>
            </w:r>
            <w:r w:rsidRPr="005049BC">
              <w:rPr>
                <w:rFonts w:ascii="Times New Roman" w:hAnsi="Times New Roman" w:cs="Times New Roman"/>
                <w:noProof/>
                <w:webHidden/>
                <w:sz w:val="24"/>
                <w:szCs w:val="24"/>
              </w:rPr>
              <w:fldChar w:fldCharType="end"/>
            </w:r>
          </w:hyperlink>
        </w:p>
        <w:p w14:paraId="7707E5A9" w14:textId="4690244D"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697" w:history="1">
            <w:r w:rsidRPr="005049BC">
              <w:rPr>
                <w:rStyle w:val="Hyperlink"/>
                <w:rFonts w:ascii="Times New Roman" w:hAnsi="Times New Roman" w:cs="Times New Roman"/>
                <w:noProof/>
                <w:sz w:val="24"/>
                <w:szCs w:val="24"/>
                <w:lang w:val="en-GB"/>
              </w:rPr>
              <w:t>2.2. Meetings of bodies established under the EHTF</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_Toc164096697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4</w:t>
            </w:r>
            <w:r w:rsidRPr="005049BC">
              <w:rPr>
                <w:rFonts w:ascii="Times New Roman" w:hAnsi="Times New Roman" w:cs="Times New Roman"/>
                <w:noProof/>
                <w:webHidden/>
                <w:sz w:val="24"/>
                <w:szCs w:val="24"/>
              </w:rPr>
              <w:fldChar w:fldCharType="end"/>
            </w:r>
          </w:hyperlink>
        </w:p>
        <w:p w14:paraId="0502849A" w14:textId="40E747CF"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698" w:history="1">
            <w:r w:rsidRPr="005049BC">
              <w:rPr>
                <w:rStyle w:val="Hyperlink"/>
                <w:rFonts w:ascii="Times New Roman" w:hAnsi="Times New Roman" w:cs="Times New Roman"/>
                <w:sz w:val="24"/>
                <w:szCs w:val="24"/>
                <w:lang w:val="en-GB"/>
              </w:rPr>
              <w:t>3. The Bonn Dialogues on Environment and Health</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_Toc164096698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4</w:t>
            </w:r>
            <w:r w:rsidRPr="005049BC">
              <w:rPr>
                <w:rFonts w:ascii="Times New Roman" w:hAnsi="Times New Roman" w:cs="Times New Roman"/>
                <w:webHidden/>
                <w:sz w:val="24"/>
                <w:szCs w:val="24"/>
              </w:rPr>
              <w:fldChar w:fldCharType="end"/>
            </w:r>
          </w:hyperlink>
        </w:p>
        <w:p w14:paraId="4CA5B354" w14:textId="2D16DC6A"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699" w:history="1">
            <w:r w:rsidRPr="005049BC">
              <w:rPr>
                <w:rStyle w:val="Hyperlink"/>
                <w:rFonts w:ascii="Times New Roman" w:hAnsi="Times New Roman" w:cs="Times New Roman"/>
                <w:sz w:val="24"/>
                <w:szCs w:val="24"/>
                <w:lang w:val="en-GB"/>
              </w:rPr>
              <w:t>4. Supporting Member States: enabling implementation through governance, resources, knowledge and support</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_Toc164096699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6</w:t>
            </w:r>
            <w:r w:rsidRPr="005049BC">
              <w:rPr>
                <w:rFonts w:ascii="Times New Roman" w:hAnsi="Times New Roman" w:cs="Times New Roman"/>
                <w:webHidden/>
                <w:sz w:val="24"/>
                <w:szCs w:val="24"/>
              </w:rPr>
              <w:fldChar w:fldCharType="end"/>
            </w:r>
          </w:hyperlink>
        </w:p>
        <w:p w14:paraId="0BDD7DE0" w14:textId="23ABD1B0"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700" w:history="1">
            <w:r w:rsidRPr="005049BC">
              <w:rPr>
                <w:rStyle w:val="Hyperlink"/>
                <w:rFonts w:ascii="Times New Roman" w:hAnsi="Times New Roman" w:cs="Times New Roman"/>
                <w:sz w:val="24"/>
                <w:szCs w:val="24"/>
                <w:lang w:val="en-GB"/>
              </w:rPr>
              <w:t>5. Joint action and partnerships</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_Toc164096700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7</w:t>
            </w:r>
            <w:r w:rsidRPr="005049BC">
              <w:rPr>
                <w:rFonts w:ascii="Times New Roman" w:hAnsi="Times New Roman" w:cs="Times New Roman"/>
                <w:webHidden/>
                <w:sz w:val="24"/>
                <w:szCs w:val="24"/>
              </w:rPr>
              <w:fldChar w:fldCharType="end"/>
            </w:r>
          </w:hyperlink>
        </w:p>
        <w:p w14:paraId="4B32C47B" w14:textId="118AFAB5"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1" w:history="1">
            <w:r w:rsidRPr="005049BC">
              <w:rPr>
                <w:rStyle w:val="Hyperlink"/>
                <w:rFonts w:ascii="Times New Roman" w:hAnsi="Times New Roman" w:cs="Times New Roman"/>
                <w:noProof/>
                <w:sz w:val="24"/>
                <w:szCs w:val="24"/>
                <w:lang w:val="en-GB"/>
              </w:rPr>
              <w:t>5.1</w:t>
            </w:r>
            <w:r w:rsidRPr="005049BC">
              <w:rPr>
                <w:rFonts w:ascii="Times New Roman" w:hAnsi="Times New Roman" w:cs="Times New Roman"/>
                <w:noProof/>
                <w:kern w:val="2"/>
                <w:sz w:val="24"/>
                <w:szCs w:val="24"/>
                <w:lang w:val="en-US"/>
                <w14:ligatures w14:val="standardContextual"/>
              </w:rPr>
              <w:t xml:space="preserve"> </w:t>
            </w:r>
            <w:r w:rsidRPr="005049BC">
              <w:rPr>
                <w:rStyle w:val="Hyperlink"/>
                <w:rFonts w:ascii="Times New Roman" w:hAnsi="Times New Roman" w:cs="Times New Roman"/>
                <w:noProof/>
                <w:sz w:val="24"/>
                <w:szCs w:val="24"/>
                <w:lang w:val="en-GB"/>
              </w:rPr>
              <w:t>The EHP Partnerships</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_Toc164096701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7</w:t>
            </w:r>
            <w:r w:rsidRPr="005049BC">
              <w:rPr>
                <w:rFonts w:ascii="Times New Roman" w:hAnsi="Times New Roman" w:cs="Times New Roman"/>
                <w:noProof/>
                <w:webHidden/>
                <w:sz w:val="24"/>
                <w:szCs w:val="24"/>
              </w:rPr>
              <w:fldChar w:fldCharType="end"/>
            </w:r>
          </w:hyperlink>
        </w:p>
        <w:p w14:paraId="75A86ECF" w14:textId="478FC59E"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2" w:history="1">
            <w:r w:rsidRPr="005049BC">
              <w:rPr>
                <w:rStyle w:val="Hyperlink"/>
                <w:rFonts w:ascii="Times New Roman" w:hAnsi="Times New Roman" w:cs="Times New Roman"/>
                <w:noProof/>
                <w:sz w:val="24"/>
                <w:szCs w:val="24"/>
                <w:lang w:val="en-GB"/>
              </w:rPr>
              <w:t>5.2 Subregional initiatives</w:t>
            </w:r>
            <w:r w:rsidRPr="005049BC">
              <w:rPr>
                <w:rStyle w:val="Hyperlink"/>
                <w:rFonts w:ascii="Times New Roman" w:hAnsi="Times New Roman" w:cs="Times New Roman"/>
                <w:noProof/>
                <w:sz w:val="24"/>
                <w:szCs w:val="24"/>
                <w:lang w:val="en-US"/>
              </w:rPr>
              <w:t xml:space="preserve"> and </w:t>
            </w:r>
            <w:r w:rsidRPr="005049BC">
              <w:rPr>
                <w:rStyle w:val="Hyperlink"/>
                <w:rFonts w:ascii="Times New Roman" w:hAnsi="Times New Roman" w:cs="Times New Roman"/>
                <w:noProof/>
                <w:sz w:val="24"/>
                <w:szCs w:val="24"/>
                <w:lang w:val="en-GB"/>
              </w:rPr>
              <w:t>national policy dialogues</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_Toc164096702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8</w:t>
            </w:r>
            <w:r w:rsidRPr="005049BC">
              <w:rPr>
                <w:rFonts w:ascii="Times New Roman" w:hAnsi="Times New Roman" w:cs="Times New Roman"/>
                <w:noProof/>
                <w:webHidden/>
                <w:sz w:val="24"/>
                <w:szCs w:val="24"/>
              </w:rPr>
              <w:fldChar w:fldCharType="end"/>
            </w:r>
          </w:hyperlink>
        </w:p>
        <w:p w14:paraId="59AFEA04" w14:textId="301FABB5"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3" w:history="1">
            <w:r w:rsidRPr="005049BC">
              <w:rPr>
                <w:rStyle w:val="Hyperlink"/>
                <w:rFonts w:ascii="Times New Roman" w:hAnsi="Times New Roman" w:cs="Times New Roman"/>
                <w:noProof/>
                <w:sz w:val="24"/>
                <w:szCs w:val="24"/>
                <w:lang w:val="en-GB"/>
              </w:rPr>
              <w:t>5.3 Country-specific activities on selected priority areas within the context of WHO Biennial Collaborative Agreements (2024−2025) and other bilateral initiatives</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_Toc164096703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8</w:t>
            </w:r>
            <w:r w:rsidRPr="005049BC">
              <w:rPr>
                <w:rFonts w:ascii="Times New Roman" w:hAnsi="Times New Roman" w:cs="Times New Roman"/>
                <w:noProof/>
                <w:webHidden/>
                <w:sz w:val="24"/>
                <w:szCs w:val="24"/>
              </w:rPr>
              <w:fldChar w:fldCharType="end"/>
            </w:r>
          </w:hyperlink>
        </w:p>
        <w:p w14:paraId="4CB18E2B" w14:textId="259BDDD3"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4" w:history="1">
            <w:r w:rsidRPr="005049BC">
              <w:rPr>
                <w:rStyle w:val="Hyperlink"/>
                <w:rFonts w:ascii="Times New Roman" w:hAnsi="Times New Roman" w:cs="Times New Roman"/>
                <w:noProof/>
                <w:sz w:val="24"/>
                <w:szCs w:val="24"/>
                <w:lang w:val="en-GB"/>
              </w:rPr>
              <w:t>5.5 Cooperation and coordination with other UN platforms and multilateral environmental agreements</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_Toc164096704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9</w:t>
            </w:r>
            <w:r w:rsidRPr="005049BC">
              <w:rPr>
                <w:rFonts w:ascii="Times New Roman" w:hAnsi="Times New Roman" w:cs="Times New Roman"/>
                <w:noProof/>
                <w:webHidden/>
                <w:sz w:val="24"/>
                <w:szCs w:val="24"/>
              </w:rPr>
              <w:fldChar w:fldCharType="end"/>
            </w:r>
          </w:hyperlink>
        </w:p>
        <w:p w14:paraId="52A7E4FB" w14:textId="0F14224C"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5" w:history="1">
            <w:r w:rsidRPr="005049BC">
              <w:rPr>
                <w:rStyle w:val="Hyperlink"/>
                <w:rFonts w:ascii="Times New Roman" w:hAnsi="Times New Roman" w:cs="Times New Roman"/>
                <w:noProof/>
                <w:sz w:val="24"/>
                <w:szCs w:val="24"/>
                <w:lang w:val="en-GB"/>
              </w:rPr>
              <w:t>5.6. Cooperation with other stakeholders and actors</w:t>
            </w:r>
            <w:r w:rsidRPr="005049BC">
              <w:rPr>
                <w:rFonts w:ascii="Times New Roman" w:hAnsi="Times New Roman" w:cs="Times New Roman"/>
                <w:noProof/>
                <w:webHidden/>
                <w:sz w:val="24"/>
                <w:szCs w:val="24"/>
              </w:rPr>
              <w:tab/>
            </w:r>
            <w:r w:rsidRPr="005049BC">
              <w:rPr>
                <w:rFonts w:ascii="Times New Roman" w:hAnsi="Times New Roman" w:cs="Times New Roman"/>
                <w:noProof/>
                <w:webHidden/>
                <w:sz w:val="24"/>
                <w:szCs w:val="24"/>
              </w:rPr>
              <w:fldChar w:fldCharType="begin"/>
            </w:r>
            <w:r w:rsidRPr="005049BC">
              <w:rPr>
                <w:rFonts w:ascii="Times New Roman" w:hAnsi="Times New Roman" w:cs="Times New Roman"/>
                <w:noProof/>
                <w:webHidden/>
                <w:sz w:val="24"/>
                <w:szCs w:val="24"/>
              </w:rPr>
              <w:instrText xml:space="preserve"> PAGEREF _Toc164096705 \h </w:instrText>
            </w:r>
            <w:r w:rsidRPr="005049BC">
              <w:rPr>
                <w:rFonts w:ascii="Times New Roman" w:hAnsi="Times New Roman" w:cs="Times New Roman"/>
                <w:noProof/>
                <w:webHidden/>
                <w:sz w:val="24"/>
                <w:szCs w:val="24"/>
              </w:rPr>
            </w:r>
            <w:r w:rsidRPr="005049BC">
              <w:rPr>
                <w:rFonts w:ascii="Times New Roman" w:hAnsi="Times New Roman" w:cs="Times New Roman"/>
                <w:noProof/>
                <w:webHidden/>
                <w:sz w:val="24"/>
                <w:szCs w:val="24"/>
              </w:rPr>
              <w:fldChar w:fldCharType="separate"/>
            </w:r>
            <w:r w:rsidR="00103AEE">
              <w:rPr>
                <w:rFonts w:ascii="Times New Roman" w:hAnsi="Times New Roman" w:cs="Times New Roman"/>
                <w:noProof/>
                <w:webHidden/>
                <w:sz w:val="24"/>
                <w:szCs w:val="24"/>
              </w:rPr>
              <w:t>10</w:t>
            </w:r>
            <w:r w:rsidRPr="005049BC">
              <w:rPr>
                <w:rFonts w:ascii="Times New Roman" w:hAnsi="Times New Roman" w:cs="Times New Roman"/>
                <w:noProof/>
                <w:webHidden/>
                <w:sz w:val="24"/>
                <w:szCs w:val="24"/>
              </w:rPr>
              <w:fldChar w:fldCharType="end"/>
            </w:r>
          </w:hyperlink>
        </w:p>
        <w:p w14:paraId="0E085777" w14:textId="170F3715"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706" w:history="1">
            <w:r w:rsidRPr="005049BC">
              <w:rPr>
                <w:rStyle w:val="Hyperlink"/>
                <w:rFonts w:ascii="Times New Roman" w:hAnsi="Times New Roman" w:cs="Times New Roman"/>
                <w:sz w:val="24"/>
                <w:szCs w:val="24"/>
                <w:lang w:val="en-GB"/>
              </w:rPr>
              <w:t>6. Monitoring progress in the implementation of the Budapest commitments</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_Toc164096706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10</w:t>
            </w:r>
            <w:r w:rsidRPr="005049BC">
              <w:rPr>
                <w:rFonts w:ascii="Times New Roman" w:hAnsi="Times New Roman" w:cs="Times New Roman"/>
                <w:webHidden/>
                <w:sz w:val="24"/>
                <w:szCs w:val="24"/>
              </w:rPr>
              <w:fldChar w:fldCharType="end"/>
            </w:r>
          </w:hyperlink>
        </w:p>
        <w:p w14:paraId="71102161" w14:textId="2B508D91" w:rsidR="000D45A8" w:rsidRPr="005049BC" w:rsidRDefault="000D45A8">
          <w:pPr>
            <w:pStyle w:val="TOC1"/>
            <w:rPr>
              <w:rFonts w:ascii="Times New Roman" w:hAnsi="Times New Roman" w:cs="Times New Roman"/>
              <w:b w:val="0"/>
              <w:bCs w:val="0"/>
              <w:kern w:val="2"/>
              <w:sz w:val="24"/>
              <w:szCs w:val="24"/>
              <w14:ligatures w14:val="standardContextual"/>
            </w:rPr>
          </w:pPr>
          <w:hyperlink w:anchor="_Toc164096707" w:history="1">
            <w:r w:rsidRPr="005049BC">
              <w:rPr>
                <w:rStyle w:val="Hyperlink"/>
                <w:rFonts w:ascii="Times New Roman" w:hAnsi="Times New Roman" w:cs="Times New Roman"/>
                <w:sz w:val="24"/>
                <w:szCs w:val="24"/>
                <w:lang w:val="en-GB"/>
              </w:rPr>
              <w:t>7. Advocacy, information and communication</w:t>
            </w:r>
            <w:r w:rsidRPr="005049BC">
              <w:rPr>
                <w:rFonts w:ascii="Times New Roman" w:hAnsi="Times New Roman" w:cs="Times New Roman"/>
                <w:webHidden/>
                <w:sz w:val="24"/>
                <w:szCs w:val="24"/>
              </w:rPr>
              <w:tab/>
            </w:r>
            <w:r w:rsidRPr="005049BC">
              <w:rPr>
                <w:rFonts w:ascii="Times New Roman" w:hAnsi="Times New Roman" w:cs="Times New Roman"/>
                <w:webHidden/>
                <w:sz w:val="24"/>
                <w:szCs w:val="24"/>
              </w:rPr>
              <w:fldChar w:fldCharType="begin"/>
            </w:r>
            <w:r w:rsidRPr="005049BC">
              <w:rPr>
                <w:rFonts w:ascii="Times New Roman" w:hAnsi="Times New Roman" w:cs="Times New Roman"/>
                <w:webHidden/>
                <w:sz w:val="24"/>
                <w:szCs w:val="24"/>
              </w:rPr>
              <w:instrText xml:space="preserve"> PAGEREF _Toc164096707 \h </w:instrText>
            </w:r>
            <w:r w:rsidRPr="005049BC">
              <w:rPr>
                <w:rFonts w:ascii="Times New Roman" w:hAnsi="Times New Roman" w:cs="Times New Roman"/>
                <w:webHidden/>
                <w:sz w:val="24"/>
                <w:szCs w:val="24"/>
              </w:rPr>
            </w:r>
            <w:r w:rsidRPr="005049BC">
              <w:rPr>
                <w:rFonts w:ascii="Times New Roman" w:hAnsi="Times New Roman" w:cs="Times New Roman"/>
                <w:webHidden/>
                <w:sz w:val="24"/>
                <w:szCs w:val="24"/>
              </w:rPr>
              <w:fldChar w:fldCharType="separate"/>
            </w:r>
            <w:r w:rsidR="00103AEE">
              <w:rPr>
                <w:rFonts w:ascii="Times New Roman" w:hAnsi="Times New Roman" w:cs="Times New Roman"/>
                <w:webHidden/>
                <w:sz w:val="24"/>
                <w:szCs w:val="24"/>
              </w:rPr>
              <w:t>11</w:t>
            </w:r>
            <w:r w:rsidRPr="005049BC">
              <w:rPr>
                <w:rFonts w:ascii="Times New Roman" w:hAnsi="Times New Roman" w:cs="Times New Roman"/>
                <w:webHidden/>
                <w:sz w:val="24"/>
                <w:szCs w:val="24"/>
              </w:rPr>
              <w:fldChar w:fldCharType="end"/>
            </w:r>
          </w:hyperlink>
        </w:p>
        <w:p w14:paraId="12DD8C70" w14:textId="529E9940"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8" w:history="1">
            <w:r w:rsidRPr="005049BC">
              <w:rPr>
                <w:rStyle w:val="Hyperlink"/>
                <w:rFonts w:ascii="Times New Roman" w:hAnsi="Times New Roman" w:cs="Times New Roman"/>
                <w:noProof/>
                <w:sz w:val="24"/>
                <w:szCs w:val="24"/>
                <w:lang w:val="en-GB"/>
              </w:rPr>
              <w:t>Annex 1. Overview</w:t>
            </w:r>
            <w:r w:rsidRPr="005049BC">
              <w:rPr>
                <w:rStyle w:val="Hyperlink"/>
                <w:rFonts w:ascii="Times New Roman" w:hAnsi="Times New Roman" w:cs="Times New Roman"/>
                <w:iCs/>
                <w:noProof/>
                <w:sz w:val="24"/>
                <w:szCs w:val="24"/>
                <w:lang w:val="en-GB"/>
              </w:rPr>
              <w:t xml:space="preserve"> of anticipated activities in the WHO bilateral collaborations (2024</w:t>
            </w:r>
            <w:r w:rsidRPr="005049BC">
              <w:rPr>
                <w:rStyle w:val="Hyperlink"/>
                <w:rFonts w:ascii="Times New Roman" w:eastAsia="Symbol" w:hAnsi="Times New Roman" w:cs="Times New Roman"/>
                <w:iCs/>
                <w:noProof/>
                <w:sz w:val="24"/>
                <w:szCs w:val="24"/>
                <w:lang w:val="en-GB"/>
              </w:rPr>
              <w:t>-</w:t>
            </w:r>
            <w:r w:rsidRPr="005049BC">
              <w:rPr>
                <w:rStyle w:val="Hyperlink"/>
                <w:rFonts w:ascii="Times New Roman" w:hAnsi="Times New Roman" w:cs="Times New Roman"/>
                <w:iCs/>
                <w:noProof/>
                <w:sz w:val="24"/>
                <w:szCs w:val="24"/>
                <w:lang w:val="en-GB"/>
              </w:rPr>
              <w:t>2025) in Member States</w:t>
            </w:r>
            <w:r w:rsidRPr="005049BC">
              <w:rPr>
                <w:rFonts w:ascii="Times New Roman" w:hAnsi="Times New Roman" w:cs="Times New Roman"/>
                <w:noProof/>
                <w:webHidden/>
                <w:sz w:val="24"/>
                <w:szCs w:val="24"/>
              </w:rPr>
              <w:tab/>
            </w:r>
          </w:hyperlink>
        </w:p>
        <w:p w14:paraId="58616473" w14:textId="296A1514" w:rsidR="000D45A8" w:rsidRPr="005049BC" w:rsidRDefault="000D45A8">
          <w:pPr>
            <w:pStyle w:val="TOC2"/>
            <w:rPr>
              <w:rFonts w:ascii="Times New Roman" w:hAnsi="Times New Roman" w:cs="Times New Roman"/>
              <w:noProof/>
              <w:kern w:val="2"/>
              <w:sz w:val="24"/>
              <w:szCs w:val="24"/>
              <w:lang w:val="en-US"/>
              <w14:ligatures w14:val="standardContextual"/>
            </w:rPr>
          </w:pPr>
          <w:hyperlink w:anchor="_Toc164096709" w:history="1">
            <w:r w:rsidRPr="005049BC">
              <w:rPr>
                <w:rStyle w:val="Hyperlink"/>
                <w:rFonts w:ascii="Times New Roman" w:hAnsi="Times New Roman" w:cs="Times New Roman"/>
                <w:iCs/>
                <w:noProof/>
                <w:sz w:val="24"/>
                <w:szCs w:val="24"/>
                <w:lang w:val="en-GB"/>
              </w:rPr>
              <w:t xml:space="preserve">Annex 2. </w:t>
            </w:r>
            <w:r w:rsidRPr="005049BC">
              <w:rPr>
                <w:rStyle w:val="Hyperlink"/>
                <w:rFonts w:ascii="Times New Roman" w:hAnsi="Times New Roman" w:cs="Times New Roman"/>
                <w:noProof/>
                <w:sz w:val="24"/>
                <w:szCs w:val="24"/>
                <w:lang w:val="en-GB"/>
              </w:rPr>
              <w:t>Rolling calendar of environment and health activities of relevance to the EHTF in 2024-2025</w:t>
            </w:r>
            <w:r w:rsidRPr="005049BC">
              <w:rPr>
                <w:rFonts w:ascii="Times New Roman" w:hAnsi="Times New Roman" w:cs="Times New Roman"/>
                <w:noProof/>
                <w:webHidden/>
                <w:sz w:val="24"/>
                <w:szCs w:val="24"/>
              </w:rPr>
              <w:tab/>
            </w:r>
          </w:hyperlink>
        </w:p>
        <w:p w14:paraId="09A34F06" w14:textId="2B577FB9" w:rsidR="00635F62" w:rsidRDefault="008604F0" w:rsidP="00B91A30">
          <w:pPr>
            <w:pStyle w:val="TOC2"/>
            <w:rPr>
              <w:rStyle w:val="Hyperlink"/>
              <w:noProof/>
              <w:kern w:val="2"/>
              <w:lang w:val="en-US"/>
              <w14:ligatures w14:val="standardContextual"/>
            </w:rPr>
          </w:pPr>
          <w:r w:rsidRPr="005049BC">
            <w:rPr>
              <w:rFonts w:ascii="Times New Roman" w:hAnsi="Times New Roman" w:cs="Times New Roman"/>
              <w:sz w:val="24"/>
              <w:szCs w:val="24"/>
            </w:rPr>
            <w:fldChar w:fldCharType="end"/>
          </w:r>
        </w:p>
      </w:sdtContent>
    </w:sdt>
    <w:p w14:paraId="73D6C00C" w14:textId="77777777" w:rsidR="00117882" w:rsidRDefault="00117882">
      <w:pPr>
        <w:sectPr w:rsidR="00117882" w:rsidSect="00EC2A92">
          <w:headerReference w:type="even" r:id="rId13"/>
          <w:pgSz w:w="11907" w:h="16840" w:code="9"/>
          <w:pgMar w:top="1134" w:right="1276" w:bottom="964" w:left="1276" w:header="567" w:footer="284" w:gutter="0"/>
          <w:pgNumType w:start="1"/>
          <w:cols w:space="720"/>
          <w:titlePg/>
          <w:docGrid w:linePitch="360"/>
        </w:sectPr>
      </w:pPr>
    </w:p>
    <w:p w14:paraId="22EF9674" w14:textId="5CB2157A" w:rsidR="00B16D36" w:rsidRPr="00117882" w:rsidRDefault="00820333" w:rsidP="00117882">
      <w:pPr>
        <w:pStyle w:val="Heading1"/>
        <w:rPr>
          <w:bCs/>
          <w:lang w:val="en-GB"/>
        </w:rPr>
      </w:pPr>
      <w:bookmarkStart w:id="0" w:name="_Toc164096692"/>
      <w:r w:rsidRPr="2BFC280C">
        <w:rPr>
          <w:lang w:val="en-GB"/>
        </w:rPr>
        <w:lastRenderedPageBreak/>
        <w:t>1. Background</w:t>
      </w:r>
      <w:bookmarkEnd w:id="0"/>
    </w:p>
    <w:p w14:paraId="5C6BB1A9" w14:textId="69508122" w:rsidR="00B16D36" w:rsidRPr="006A2D5A" w:rsidRDefault="00B16D36" w:rsidP="006A2D5A">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008E2D11">
        <w:rPr>
          <w:rFonts w:ascii="Times New Roman" w:hAnsi="Times New Roman" w:cs="Times New Roman"/>
          <w:sz w:val="24"/>
          <w:szCs w:val="24"/>
          <w:lang w:val="en-GB"/>
        </w:rPr>
        <w:t xml:space="preserve">The </w:t>
      </w:r>
      <w:r w:rsidRPr="006A2D5A">
        <w:rPr>
          <w:rFonts w:ascii="Times New Roman" w:hAnsi="Times New Roman" w:cs="Times New Roman"/>
          <w:sz w:val="24"/>
          <w:szCs w:val="24"/>
          <w:lang w:val="en-GB"/>
        </w:rPr>
        <w:t xml:space="preserve">European Environment and Health Process (EHP) </w:t>
      </w:r>
      <w:r w:rsidR="00B10F72" w:rsidRPr="00B10F72">
        <w:rPr>
          <w:rFonts w:ascii="Times New Roman" w:hAnsi="Times New Roman" w:cs="Times New Roman"/>
          <w:sz w:val="24"/>
          <w:szCs w:val="24"/>
          <w:lang w:val="en-GB"/>
        </w:rPr>
        <w:t xml:space="preserve">initiated in 1989 provides a unique intersectoral policy platform bringing together relevant sectors from the 53 Member States of the WHO European Region on an equal footing, along with stakeholders representing international, regional and Non-Governmental Organizations, including representatives of </w:t>
      </w:r>
      <w:r w:rsidR="002A4861">
        <w:rPr>
          <w:rFonts w:ascii="Times New Roman" w:hAnsi="Times New Roman" w:cs="Times New Roman"/>
          <w:sz w:val="24"/>
          <w:szCs w:val="24"/>
          <w:lang w:val="en-GB"/>
        </w:rPr>
        <w:t>y</w:t>
      </w:r>
      <w:r w:rsidR="00B10F72" w:rsidRPr="00B10F72">
        <w:rPr>
          <w:rFonts w:ascii="Times New Roman" w:hAnsi="Times New Roman" w:cs="Times New Roman"/>
          <w:sz w:val="24"/>
          <w:szCs w:val="24"/>
          <w:lang w:val="en-GB"/>
        </w:rPr>
        <w:t>outh. This platform supports implementing effective evidence-based policies and advances actions that promote health, well-being, and the environment in the WHO European Region.</w:t>
      </w:r>
    </w:p>
    <w:p w14:paraId="529A317D" w14:textId="54FAA80A" w:rsidR="00241C6A" w:rsidRPr="006A2D5A" w:rsidRDefault="00117882" w:rsidP="006A2D5A">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006A2D5A">
        <w:rPr>
          <w:rFonts w:ascii="Times New Roman" w:hAnsi="Times New Roman" w:cs="Times New Roman"/>
          <w:sz w:val="24"/>
          <w:szCs w:val="24"/>
          <w:lang w:val="en-GB"/>
        </w:rPr>
        <w:t xml:space="preserve">To </w:t>
      </w:r>
      <w:r w:rsidR="00E07C09">
        <w:rPr>
          <w:rFonts w:ascii="Times New Roman" w:hAnsi="Times New Roman" w:cs="Times New Roman"/>
          <w:sz w:val="24"/>
          <w:szCs w:val="24"/>
          <w:lang w:val="en-GB"/>
        </w:rPr>
        <w:t xml:space="preserve">set the </w:t>
      </w:r>
      <w:r w:rsidR="004C00EC">
        <w:rPr>
          <w:rFonts w:ascii="Times New Roman" w:hAnsi="Times New Roman" w:cs="Times New Roman"/>
          <w:sz w:val="24"/>
          <w:szCs w:val="24"/>
          <w:lang w:val="en-GB"/>
        </w:rPr>
        <w:t xml:space="preserve">environment and health political agenda for the </w:t>
      </w:r>
      <w:r w:rsidR="00DB4873">
        <w:rPr>
          <w:rFonts w:ascii="Times New Roman" w:hAnsi="Times New Roman" w:cs="Times New Roman"/>
          <w:sz w:val="24"/>
          <w:szCs w:val="24"/>
          <w:lang w:val="en-GB"/>
        </w:rPr>
        <w:t xml:space="preserve">WHO </w:t>
      </w:r>
      <w:r w:rsidR="004C00EC">
        <w:rPr>
          <w:rFonts w:ascii="Times New Roman" w:hAnsi="Times New Roman" w:cs="Times New Roman"/>
          <w:sz w:val="24"/>
          <w:szCs w:val="24"/>
          <w:lang w:val="en-GB"/>
        </w:rPr>
        <w:t>European Region</w:t>
      </w:r>
      <w:r w:rsidR="00DB4873">
        <w:rPr>
          <w:rFonts w:ascii="Times New Roman" w:hAnsi="Times New Roman" w:cs="Times New Roman"/>
          <w:sz w:val="24"/>
          <w:szCs w:val="24"/>
          <w:lang w:val="en-GB"/>
        </w:rPr>
        <w:t xml:space="preserve">, </w:t>
      </w:r>
      <w:r w:rsidR="00E1603C">
        <w:rPr>
          <w:rFonts w:ascii="Times New Roman" w:hAnsi="Times New Roman" w:cs="Times New Roman"/>
          <w:sz w:val="24"/>
          <w:szCs w:val="24"/>
          <w:lang w:val="en-GB"/>
        </w:rPr>
        <w:t xml:space="preserve">the EHP provides the </w:t>
      </w:r>
      <w:r w:rsidR="002C6607">
        <w:rPr>
          <w:rFonts w:ascii="Times New Roman" w:hAnsi="Times New Roman" w:cs="Times New Roman"/>
          <w:sz w:val="24"/>
          <w:szCs w:val="24"/>
          <w:lang w:val="en-GB"/>
        </w:rPr>
        <w:t xml:space="preserve">framework </w:t>
      </w:r>
      <w:r w:rsidR="00C4512C">
        <w:rPr>
          <w:rFonts w:ascii="Times New Roman" w:hAnsi="Times New Roman" w:cs="Times New Roman"/>
          <w:sz w:val="24"/>
          <w:szCs w:val="24"/>
          <w:lang w:val="en-GB"/>
        </w:rPr>
        <w:t>for ministries of health and the environment</w:t>
      </w:r>
      <w:r w:rsidR="004E28AD">
        <w:rPr>
          <w:rFonts w:ascii="Times New Roman" w:hAnsi="Times New Roman" w:cs="Times New Roman"/>
          <w:sz w:val="24"/>
          <w:szCs w:val="24"/>
          <w:lang w:val="en-GB"/>
        </w:rPr>
        <w:t>, along with relevant inter-governmental and non-governmental organizations</w:t>
      </w:r>
      <w:r w:rsidR="00C4512C">
        <w:rPr>
          <w:rFonts w:ascii="Times New Roman" w:hAnsi="Times New Roman" w:cs="Times New Roman"/>
          <w:sz w:val="24"/>
          <w:szCs w:val="24"/>
          <w:lang w:val="en-GB"/>
        </w:rPr>
        <w:t xml:space="preserve"> </w:t>
      </w:r>
      <w:r w:rsidR="002C6607">
        <w:rPr>
          <w:rFonts w:ascii="Times New Roman" w:hAnsi="Times New Roman" w:cs="Times New Roman"/>
          <w:sz w:val="24"/>
          <w:szCs w:val="24"/>
          <w:lang w:val="en-GB"/>
        </w:rPr>
        <w:t xml:space="preserve">to hold periodic </w:t>
      </w:r>
      <w:r w:rsidR="0075554A">
        <w:rPr>
          <w:rFonts w:ascii="Times New Roman" w:hAnsi="Times New Roman" w:cs="Times New Roman"/>
          <w:sz w:val="24"/>
          <w:szCs w:val="24"/>
          <w:lang w:val="en-GB"/>
        </w:rPr>
        <w:t>Ministerial Conferences</w:t>
      </w:r>
      <w:r w:rsidR="00C4512C">
        <w:rPr>
          <w:rFonts w:ascii="Times New Roman" w:hAnsi="Times New Roman" w:cs="Times New Roman"/>
          <w:sz w:val="24"/>
          <w:szCs w:val="24"/>
          <w:lang w:val="en-GB"/>
        </w:rPr>
        <w:t>.</w:t>
      </w:r>
    </w:p>
    <w:p w14:paraId="25195955" w14:textId="7BA9BAC0" w:rsidR="00C7400C" w:rsidRPr="008E2D11" w:rsidRDefault="0037676B" w:rsidP="006A2D5A">
      <w:pPr>
        <w:pStyle w:val="ListParagraph"/>
        <w:numPr>
          <w:ilvl w:val="0"/>
          <w:numId w:val="1"/>
        </w:numPr>
        <w:suppressLineNumbers/>
        <w:spacing w:before="120" w:after="120" w:line="259" w:lineRule="auto"/>
        <w:ind w:left="432" w:hanging="432"/>
        <w:contextualSpacing w:val="0"/>
        <w:jc w:val="both"/>
        <w:rPr>
          <w:sz w:val="24"/>
          <w:szCs w:val="24"/>
          <w:lang w:val="en-GB"/>
        </w:rPr>
      </w:pPr>
      <w:r w:rsidRPr="006A2D5A">
        <w:rPr>
          <w:rFonts w:ascii="Times New Roman" w:hAnsi="Times New Roman" w:cs="Times New Roman"/>
          <w:sz w:val="24"/>
          <w:szCs w:val="24"/>
          <w:lang w:val="en-GB"/>
        </w:rPr>
        <w:t>Between</w:t>
      </w:r>
      <w:r w:rsidR="006D7159" w:rsidRPr="006A2D5A">
        <w:rPr>
          <w:rFonts w:ascii="Times New Roman" w:hAnsi="Times New Roman" w:cs="Times New Roman"/>
          <w:sz w:val="24"/>
          <w:szCs w:val="24"/>
          <w:lang w:val="en-GB"/>
        </w:rPr>
        <w:t xml:space="preserve"> Ministerial</w:t>
      </w:r>
      <w:r w:rsidR="006D7159" w:rsidRPr="51F8B297">
        <w:rPr>
          <w:rFonts w:ascii="Times New Roman" w:hAnsi="Times New Roman" w:cs="Times New Roman"/>
          <w:sz w:val="24"/>
          <w:szCs w:val="24"/>
          <w:lang w:val="en-GB"/>
        </w:rPr>
        <w:t xml:space="preserve"> Conferences</w:t>
      </w:r>
      <w:r w:rsidRPr="51F8B297">
        <w:rPr>
          <w:rFonts w:ascii="Times New Roman" w:hAnsi="Times New Roman" w:cs="Times New Roman"/>
          <w:sz w:val="24"/>
          <w:szCs w:val="24"/>
          <w:lang w:val="en-GB"/>
        </w:rPr>
        <w:t>,</w:t>
      </w:r>
      <w:r w:rsidR="006D7159" w:rsidRPr="51F8B297">
        <w:rPr>
          <w:rFonts w:ascii="Times New Roman" w:hAnsi="Times New Roman" w:cs="Times New Roman"/>
          <w:sz w:val="24"/>
          <w:szCs w:val="24"/>
          <w:lang w:val="en-GB"/>
        </w:rPr>
        <w:t xml:space="preserve"> the E</w:t>
      </w:r>
      <w:r w:rsidR="0086017B">
        <w:rPr>
          <w:rFonts w:ascii="Times New Roman" w:hAnsi="Times New Roman" w:cs="Times New Roman"/>
          <w:sz w:val="24"/>
          <w:szCs w:val="24"/>
          <w:lang w:val="en-GB"/>
        </w:rPr>
        <w:t xml:space="preserve">uropean </w:t>
      </w:r>
      <w:r w:rsidR="006B3C70">
        <w:rPr>
          <w:rFonts w:ascii="Times New Roman" w:hAnsi="Times New Roman" w:cs="Times New Roman"/>
          <w:sz w:val="24"/>
          <w:szCs w:val="24"/>
          <w:lang w:val="en-GB"/>
        </w:rPr>
        <w:t>Environment and Health Task Force (E</w:t>
      </w:r>
      <w:r w:rsidR="00E2078D" w:rsidRPr="51F8B297">
        <w:rPr>
          <w:rFonts w:ascii="Times New Roman" w:hAnsi="Times New Roman" w:cs="Times New Roman"/>
          <w:sz w:val="24"/>
          <w:szCs w:val="24"/>
          <w:lang w:val="en-GB"/>
        </w:rPr>
        <w:t>H</w:t>
      </w:r>
      <w:r w:rsidR="00235A6C" w:rsidRPr="51F8B297">
        <w:rPr>
          <w:rFonts w:ascii="Times New Roman" w:hAnsi="Times New Roman" w:cs="Times New Roman"/>
          <w:sz w:val="24"/>
          <w:szCs w:val="24"/>
          <w:lang w:val="en-GB"/>
        </w:rPr>
        <w:t>TF</w:t>
      </w:r>
      <w:r w:rsidR="006B3C70">
        <w:rPr>
          <w:rFonts w:ascii="Times New Roman" w:hAnsi="Times New Roman" w:cs="Times New Roman"/>
          <w:sz w:val="24"/>
          <w:szCs w:val="24"/>
          <w:lang w:val="en-GB"/>
        </w:rPr>
        <w:t>)</w:t>
      </w:r>
      <w:r w:rsidR="00235A6C" w:rsidRPr="51F8B297">
        <w:rPr>
          <w:rFonts w:ascii="Times New Roman" w:hAnsi="Times New Roman" w:cs="Times New Roman"/>
          <w:sz w:val="24"/>
          <w:szCs w:val="24"/>
          <w:lang w:val="en-GB"/>
        </w:rPr>
        <w:t xml:space="preserve"> and its Bureau support the implementation </w:t>
      </w:r>
      <w:r w:rsidR="00FF562A" w:rsidRPr="51F8B297">
        <w:rPr>
          <w:rFonts w:ascii="Times New Roman" w:hAnsi="Times New Roman" w:cs="Times New Roman"/>
          <w:sz w:val="24"/>
          <w:szCs w:val="24"/>
          <w:lang w:val="en-GB"/>
        </w:rPr>
        <w:t xml:space="preserve">and monitoring of EHP </w:t>
      </w:r>
      <w:r w:rsidR="00235A6C" w:rsidRPr="51F8B297">
        <w:rPr>
          <w:rFonts w:ascii="Times New Roman" w:hAnsi="Times New Roman" w:cs="Times New Roman"/>
          <w:sz w:val="24"/>
          <w:szCs w:val="24"/>
          <w:lang w:val="en-GB"/>
        </w:rPr>
        <w:t xml:space="preserve">activities, facilitated by </w:t>
      </w:r>
      <w:r w:rsidR="006B3C70">
        <w:rPr>
          <w:rFonts w:ascii="Times New Roman" w:hAnsi="Times New Roman" w:cs="Times New Roman"/>
          <w:sz w:val="24"/>
          <w:szCs w:val="24"/>
          <w:lang w:val="en-GB"/>
        </w:rPr>
        <w:t xml:space="preserve">the </w:t>
      </w:r>
      <w:r w:rsidR="004816C7" w:rsidRPr="51F8B297">
        <w:rPr>
          <w:rFonts w:ascii="Times New Roman" w:hAnsi="Times New Roman" w:cs="Times New Roman"/>
          <w:sz w:val="24"/>
          <w:szCs w:val="24"/>
          <w:lang w:val="en-GB"/>
        </w:rPr>
        <w:t>Chair and co-Chair of the EHTF.</w:t>
      </w:r>
    </w:p>
    <w:p w14:paraId="3B4DE238" w14:textId="690FCB31" w:rsidR="00820333" w:rsidRPr="00C9492B" w:rsidRDefault="00820333" w:rsidP="37589110">
      <w:pPr>
        <w:pStyle w:val="Heading2"/>
        <w:rPr>
          <w:lang w:val="en-GB"/>
        </w:rPr>
      </w:pPr>
      <w:bookmarkStart w:id="1" w:name="_Toc164096693"/>
      <w:r w:rsidRPr="2BFC280C">
        <w:rPr>
          <w:lang w:val="en-GB"/>
        </w:rPr>
        <w:t>1.1 Introduction</w:t>
      </w:r>
      <w:bookmarkEnd w:id="1"/>
    </w:p>
    <w:p w14:paraId="356B3AA6" w14:textId="40B6E912" w:rsidR="00562B86" w:rsidRDefault="00562B86" w:rsidP="006A2D5A">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37589110">
        <w:rPr>
          <w:rFonts w:ascii="Times New Roman" w:hAnsi="Times New Roman" w:cs="Times New Roman"/>
          <w:sz w:val="24"/>
          <w:szCs w:val="24"/>
          <w:lang w:val="en-GB"/>
        </w:rPr>
        <w:t xml:space="preserve">In July 2023, Member States of the WHO European Region </w:t>
      </w:r>
      <w:r>
        <w:rPr>
          <w:rFonts w:ascii="Times New Roman" w:hAnsi="Times New Roman" w:cs="Times New Roman"/>
          <w:sz w:val="24"/>
          <w:szCs w:val="24"/>
          <w:lang w:val="en-GB"/>
        </w:rPr>
        <w:t>gathered</w:t>
      </w:r>
      <w:r w:rsidRPr="37589110">
        <w:rPr>
          <w:rFonts w:ascii="Times New Roman" w:hAnsi="Times New Roman" w:cs="Times New Roman"/>
          <w:sz w:val="24"/>
          <w:szCs w:val="24"/>
          <w:lang w:val="en-GB"/>
        </w:rPr>
        <w:t xml:space="preserve"> at the Seventh Ministerial Conference on Environment and Health in Budapest, Hungary, </w:t>
      </w:r>
      <w:r w:rsidR="000D391F">
        <w:rPr>
          <w:rFonts w:ascii="Times New Roman" w:hAnsi="Times New Roman" w:cs="Times New Roman"/>
          <w:sz w:val="24"/>
          <w:szCs w:val="24"/>
          <w:lang w:val="en-GB"/>
        </w:rPr>
        <w:t xml:space="preserve">and adopted </w:t>
      </w:r>
      <w:r w:rsidRPr="37589110">
        <w:rPr>
          <w:rFonts w:ascii="Times New Roman" w:hAnsi="Times New Roman" w:cs="Times New Roman"/>
          <w:sz w:val="24"/>
          <w:szCs w:val="24"/>
          <w:lang w:val="en-GB"/>
        </w:rPr>
        <w:t>the Budapest Declaration</w:t>
      </w:r>
      <w:r w:rsidR="00D66676">
        <w:rPr>
          <w:rFonts w:ascii="Times New Roman" w:hAnsi="Times New Roman" w:cs="Times New Roman"/>
          <w:sz w:val="24"/>
          <w:szCs w:val="24"/>
          <w:lang w:val="en-GB"/>
        </w:rPr>
        <w:t xml:space="preserve"> </w:t>
      </w:r>
      <w:r w:rsidR="00565A75">
        <w:rPr>
          <w:rFonts w:ascii="Times New Roman" w:hAnsi="Times New Roman" w:cs="Times New Roman"/>
          <w:sz w:val="24"/>
          <w:szCs w:val="24"/>
          <w:lang w:val="en-GB"/>
        </w:rPr>
        <w:t xml:space="preserve">and its </w:t>
      </w:r>
      <w:r w:rsidR="00565A75" w:rsidRPr="00565A75">
        <w:rPr>
          <w:rFonts w:ascii="Times New Roman" w:hAnsi="Times New Roman" w:cs="Times New Roman"/>
          <w:sz w:val="24"/>
          <w:szCs w:val="24"/>
          <w:lang w:val="en-GB"/>
        </w:rPr>
        <w:t>“Roadmap for healthier people, a thriving planet and a sustainable future 2023–2030</w:t>
      </w:r>
      <w:r w:rsidR="00D66676" w:rsidDel="00730F65">
        <w:rPr>
          <w:rFonts w:ascii="Times New Roman" w:hAnsi="Times New Roman" w:cs="Times New Roman"/>
          <w:sz w:val="24"/>
          <w:szCs w:val="24"/>
          <w:lang w:val="en-GB"/>
        </w:rPr>
        <w:t>”</w:t>
      </w:r>
      <w:r w:rsidR="006A2D5A">
        <w:rPr>
          <w:rFonts w:ascii="Times New Roman" w:hAnsi="Times New Roman" w:cs="Times New Roman"/>
          <w:sz w:val="24"/>
          <w:szCs w:val="24"/>
          <w:lang w:val="en-GB"/>
        </w:rPr>
        <w:t>.</w:t>
      </w:r>
    </w:p>
    <w:p w14:paraId="0CE2DD40" w14:textId="04FFBF57" w:rsidR="0088288B" w:rsidRPr="008E5524" w:rsidRDefault="008C5A05" w:rsidP="006A2D5A">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T</w:t>
      </w:r>
      <w:r w:rsidR="00117882">
        <w:rPr>
          <w:rFonts w:ascii="Times New Roman" w:hAnsi="Times New Roman" w:cs="Times New Roman"/>
          <w:sz w:val="24"/>
          <w:szCs w:val="24"/>
          <w:lang w:val="en-GB"/>
        </w:rPr>
        <w:t>he</w:t>
      </w:r>
      <w:r w:rsidRPr="51F8B297">
        <w:rPr>
          <w:rFonts w:ascii="Times New Roman" w:hAnsi="Times New Roman" w:cs="Times New Roman"/>
          <w:sz w:val="24"/>
          <w:szCs w:val="24"/>
          <w:lang w:val="en-GB"/>
        </w:rPr>
        <w:t xml:space="preserve"> EHTF is </w:t>
      </w:r>
      <w:r w:rsidR="00962FD3" w:rsidRPr="51F8B297">
        <w:rPr>
          <w:rFonts w:ascii="Times New Roman" w:hAnsi="Times New Roman" w:cs="Times New Roman"/>
          <w:sz w:val="24"/>
          <w:szCs w:val="24"/>
          <w:lang w:val="en-GB"/>
        </w:rPr>
        <w:t>entrusted</w:t>
      </w:r>
      <w:r w:rsidR="00794C10" w:rsidRPr="51F8B297">
        <w:rPr>
          <w:rFonts w:ascii="Times New Roman" w:hAnsi="Times New Roman" w:cs="Times New Roman"/>
          <w:sz w:val="24"/>
          <w:szCs w:val="24"/>
          <w:lang w:val="en-GB"/>
        </w:rPr>
        <w:t xml:space="preserve"> with</w:t>
      </w:r>
      <w:r w:rsidR="0088288B" w:rsidRPr="51F8B297">
        <w:rPr>
          <w:rFonts w:ascii="Times New Roman" w:hAnsi="Times New Roman" w:cs="Times New Roman"/>
          <w:sz w:val="24"/>
          <w:szCs w:val="24"/>
          <w:lang w:val="en-GB"/>
        </w:rPr>
        <w:t xml:space="preserve"> the mandate to </w:t>
      </w:r>
      <w:r w:rsidR="00B75F35" w:rsidRPr="51F8B297">
        <w:rPr>
          <w:rFonts w:ascii="Times New Roman" w:hAnsi="Times New Roman" w:cs="Times New Roman"/>
          <w:sz w:val="24"/>
          <w:szCs w:val="24"/>
          <w:lang w:val="en-GB"/>
        </w:rPr>
        <w:t>support</w:t>
      </w:r>
      <w:r w:rsidR="008E5524" w:rsidRPr="51F8B297">
        <w:rPr>
          <w:rFonts w:ascii="Times New Roman" w:hAnsi="Times New Roman" w:cs="Times New Roman"/>
          <w:sz w:val="24"/>
          <w:szCs w:val="24"/>
          <w:lang w:val="en-GB"/>
        </w:rPr>
        <w:t>,</w:t>
      </w:r>
      <w:r w:rsidR="00BF2DB9" w:rsidRPr="51F8B297">
        <w:rPr>
          <w:rFonts w:ascii="Times New Roman" w:hAnsi="Times New Roman" w:cs="Times New Roman"/>
          <w:sz w:val="24"/>
          <w:szCs w:val="24"/>
          <w:lang w:val="en-GB"/>
        </w:rPr>
        <w:t xml:space="preserve"> coordinate </w:t>
      </w:r>
      <w:r w:rsidR="0088288B" w:rsidRPr="51F8B297">
        <w:rPr>
          <w:rFonts w:ascii="Times New Roman" w:hAnsi="Times New Roman" w:cs="Times New Roman"/>
          <w:sz w:val="24"/>
          <w:szCs w:val="24"/>
          <w:lang w:val="en-GB"/>
        </w:rPr>
        <w:t>and monitor the implementation of th</w:t>
      </w:r>
      <w:r w:rsidR="00D10A0D" w:rsidRPr="51F8B297">
        <w:rPr>
          <w:rFonts w:ascii="Times New Roman" w:hAnsi="Times New Roman" w:cs="Times New Roman"/>
          <w:sz w:val="24"/>
          <w:szCs w:val="24"/>
          <w:lang w:val="en-GB"/>
        </w:rPr>
        <w:t>e Budapest</w:t>
      </w:r>
      <w:r w:rsidR="0088288B" w:rsidRPr="51F8B297">
        <w:rPr>
          <w:rFonts w:ascii="Times New Roman" w:hAnsi="Times New Roman" w:cs="Times New Roman"/>
          <w:sz w:val="24"/>
          <w:szCs w:val="24"/>
          <w:lang w:val="en-GB"/>
        </w:rPr>
        <w:t xml:space="preserve"> commitments</w:t>
      </w:r>
      <w:r w:rsidR="000D43C5" w:rsidRPr="51F8B297">
        <w:rPr>
          <w:rFonts w:ascii="Times New Roman" w:hAnsi="Times New Roman" w:cs="Times New Roman"/>
          <w:sz w:val="24"/>
          <w:szCs w:val="24"/>
          <w:lang w:val="en-GB"/>
        </w:rPr>
        <w:t xml:space="preserve"> by 2030</w:t>
      </w:r>
      <w:r w:rsidR="0088288B" w:rsidRPr="51F8B297">
        <w:rPr>
          <w:rFonts w:ascii="Times New Roman" w:hAnsi="Times New Roman" w:cs="Times New Roman"/>
          <w:sz w:val="24"/>
          <w:szCs w:val="24"/>
          <w:lang w:val="en-GB"/>
        </w:rPr>
        <w:t>.</w:t>
      </w:r>
    </w:p>
    <w:p w14:paraId="602623C3" w14:textId="7A7F054E" w:rsidR="0087327D" w:rsidRPr="00117882" w:rsidRDefault="002B0EB0" w:rsidP="44FFBC67">
      <w:pPr>
        <w:pStyle w:val="ListParagraph"/>
        <w:numPr>
          <w:ilvl w:val="0"/>
          <w:numId w:val="1"/>
        </w:numPr>
        <w:suppressLineNumbers/>
        <w:spacing w:before="120" w:after="120" w:line="259" w:lineRule="auto"/>
        <w:ind w:left="432" w:hanging="432"/>
        <w:jc w:val="both"/>
        <w:rPr>
          <w:rFonts w:ascii="Times New Roman" w:hAnsi="Times New Roman" w:cs="Times New Roman"/>
          <w:sz w:val="24"/>
          <w:szCs w:val="24"/>
          <w:lang w:val="en-GB"/>
        </w:rPr>
      </w:pPr>
      <w:r w:rsidRPr="37589110">
        <w:rPr>
          <w:rFonts w:ascii="Times New Roman" w:hAnsi="Times New Roman" w:cs="Times New Roman"/>
          <w:sz w:val="24"/>
          <w:szCs w:val="24"/>
          <w:lang w:val="en-GB"/>
        </w:rPr>
        <w:t xml:space="preserve">The EHTF Programme of Work </w:t>
      </w:r>
      <w:r w:rsidR="00117882">
        <w:rPr>
          <w:rFonts w:ascii="Times New Roman" w:hAnsi="Times New Roman" w:cs="Times New Roman"/>
          <w:sz w:val="24"/>
          <w:szCs w:val="24"/>
          <w:lang w:val="en-GB"/>
        </w:rPr>
        <w:t>(</w:t>
      </w:r>
      <w:proofErr w:type="spellStart"/>
      <w:r w:rsidR="00117882">
        <w:rPr>
          <w:rFonts w:ascii="Times New Roman" w:hAnsi="Times New Roman" w:cs="Times New Roman"/>
          <w:sz w:val="24"/>
          <w:szCs w:val="24"/>
          <w:lang w:val="en-GB"/>
        </w:rPr>
        <w:t>PoW</w:t>
      </w:r>
      <w:proofErr w:type="spellEnd"/>
      <w:r w:rsidR="00117882">
        <w:rPr>
          <w:rFonts w:ascii="Times New Roman" w:hAnsi="Times New Roman" w:cs="Times New Roman"/>
          <w:sz w:val="24"/>
          <w:szCs w:val="24"/>
          <w:lang w:val="en-GB"/>
        </w:rPr>
        <w:t xml:space="preserve">) for </w:t>
      </w:r>
      <w:r w:rsidR="00BD4564">
        <w:rPr>
          <w:rFonts w:ascii="Times New Roman" w:hAnsi="Times New Roman" w:cs="Times New Roman"/>
          <w:sz w:val="24"/>
          <w:szCs w:val="24"/>
          <w:lang w:val="en-GB"/>
        </w:rPr>
        <w:t>2024</w:t>
      </w:r>
      <w:r w:rsidR="00117882">
        <w:rPr>
          <w:rFonts w:ascii="Symbol" w:eastAsia="Symbol" w:hAnsi="Symbol" w:cs="Symbol"/>
          <w:sz w:val="24"/>
          <w:szCs w:val="24"/>
          <w:lang w:val="en-GB"/>
        </w:rPr>
        <w:t>-</w:t>
      </w:r>
      <w:r w:rsidR="00BD4564">
        <w:rPr>
          <w:rFonts w:ascii="Times New Roman" w:hAnsi="Times New Roman" w:cs="Times New Roman"/>
          <w:sz w:val="24"/>
          <w:szCs w:val="24"/>
          <w:lang w:val="en-GB"/>
        </w:rPr>
        <w:t xml:space="preserve">2025 </w:t>
      </w:r>
      <w:r w:rsidR="002C731A">
        <w:rPr>
          <w:rFonts w:ascii="Times New Roman" w:hAnsi="Times New Roman" w:cs="Times New Roman"/>
          <w:sz w:val="24"/>
          <w:szCs w:val="24"/>
          <w:lang w:val="en-GB"/>
        </w:rPr>
        <w:t xml:space="preserve">is </w:t>
      </w:r>
      <w:r w:rsidR="00FC6848" w:rsidRPr="51F8B297">
        <w:rPr>
          <w:rFonts w:ascii="Times New Roman" w:hAnsi="Times New Roman" w:cs="Times New Roman"/>
          <w:sz w:val="24"/>
          <w:szCs w:val="24"/>
          <w:lang w:val="en-GB"/>
        </w:rPr>
        <w:t xml:space="preserve">based on the priorities </w:t>
      </w:r>
      <w:r w:rsidR="00846C82" w:rsidRPr="51F8B297">
        <w:rPr>
          <w:rFonts w:ascii="Times New Roman" w:hAnsi="Times New Roman" w:cs="Times New Roman"/>
          <w:sz w:val="24"/>
          <w:szCs w:val="24"/>
          <w:lang w:val="en-GB"/>
        </w:rPr>
        <w:t>outlined</w:t>
      </w:r>
      <w:r w:rsidR="00FC6848" w:rsidRPr="51F8B297">
        <w:rPr>
          <w:rFonts w:ascii="Times New Roman" w:hAnsi="Times New Roman" w:cs="Times New Roman"/>
          <w:sz w:val="24"/>
          <w:szCs w:val="24"/>
          <w:lang w:val="en-GB"/>
        </w:rPr>
        <w:t xml:space="preserve"> in the </w:t>
      </w:r>
      <w:r w:rsidR="00042DE0">
        <w:rPr>
          <w:rFonts w:ascii="Times New Roman" w:hAnsi="Times New Roman" w:cs="Times New Roman"/>
          <w:sz w:val="24"/>
          <w:szCs w:val="24"/>
          <w:lang w:val="en-GB"/>
        </w:rPr>
        <w:t>Budapest Declaration</w:t>
      </w:r>
      <w:r w:rsidR="006E61CD" w:rsidRPr="51F8B297">
        <w:rPr>
          <w:rFonts w:ascii="Times New Roman" w:hAnsi="Times New Roman" w:cs="Times New Roman"/>
          <w:sz w:val="24"/>
          <w:szCs w:val="24"/>
          <w:lang w:val="en-GB"/>
        </w:rPr>
        <w:t xml:space="preserve">, which </w:t>
      </w:r>
      <w:r w:rsidR="62427297" w:rsidRPr="51F8B297">
        <w:rPr>
          <w:rFonts w:ascii="Times New Roman" w:hAnsi="Times New Roman" w:cs="Times New Roman"/>
          <w:sz w:val="24"/>
          <w:szCs w:val="24"/>
          <w:lang w:val="en-GB"/>
        </w:rPr>
        <w:t xml:space="preserve">reaffirms the commitments </w:t>
      </w:r>
      <w:r w:rsidR="00086E12">
        <w:rPr>
          <w:rFonts w:ascii="Times New Roman" w:hAnsi="Times New Roman" w:cs="Times New Roman"/>
          <w:sz w:val="24"/>
          <w:szCs w:val="24"/>
          <w:lang w:val="en-GB"/>
        </w:rPr>
        <w:t>from</w:t>
      </w:r>
      <w:r w:rsidR="00117882" w:rsidRPr="51F8B297">
        <w:rPr>
          <w:rFonts w:ascii="Times New Roman" w:hAnsi="Times New Roman" w:cs="Times New Roman"/>
          <w:sz w:val="24"/>
          <w:szCs w:val="24"/>
          <w:lang w:val="en-GB"/>
        </w:rPr>
        <w:t xml:space="preserve"> previous Ministerial Conferences,</w:t>
      </w:r>
      <w:r w:rsidR="00117882">
        <w:rPr>
          <w:rFonts w:ascii="Times New Roman" w:hAnsi="Times New Roman" w:cs="Times New Roman"/>
          <w:sz w:val="24"/>
          <w:szCs w:val="24"/>
          <w:lang w:val="en-GB"/>
        </w:rPr>
        <w:t xml:space="preserve"> particular</w:t>
      </w:r>
      <w:r w:rsidR="0078742F">
        <w:rPr>
          <w:rFonts w:ascii="Times New Roman" w:hAnsi="Times New Roman" w:cs="Times New Roman"/>
          <w:sz w:val="24"/>
          <w:szCs w:val="24"/>
          <w:lang w:val="en-GB"/>
        </w:rPr>
        <w:t>ly</w:t>
      </w:r>
      <w:r w:rsidR="00117882">
        <w:rPr>
          <w:rFonts w:ascii="Times New Roman" w:hAnsi="Times New Roman" w:cs="Times New Roman"/>
          <w:sz w:val="24"/>
          <w:szCs w:val="24"/>
          <w:lang w:val="en-GB"/>
        </w:rPr>
        <w:t xml:space="preserve"> the </w:t>
      </w:r>
      <w:r w:rsidR="62427297" w:rsidRPr="51F8B297">
        <w:rPr>
          <w:rFonts w:ascii="Times New Roman" w:hAnsi="Times New Roman" w:cs="Times New Roman"/>
          <w:sz w:val="24"/>
          <w:szCs w:val="24"/>
          <w:lang w:val="en-GB"/>
        </w:rPr>
        <w:t>Ostrava Declaration</w:t>
      </w:r>
      <w:r w:rsidR="62427297" w:rsidRPr="51F8B297" w:rsidDel="00E13D8B">
        <w:rPr>
          <w:rFonts w:ascii="Times New Roman" w:hAnsi="Times New Roman" w:cs="Times New Roman"/>
          <w:sz w:val="24"/>
          <w:szCs w:val="24"/>
          <w:lang w:val="en-GB"/>
        </w:rPr>
        <w:t>,</w:t>
      </w:r>
      <w:r w:rsidR="62427297" w:rsidRPr="51F8B297">
        <w:rPr>
          <w:rFonts w:ascii="Times New Roman" w:hAnsi="Times New Roman" w:cs="Times New Roman"/>
          <w:sz w:val="24"/>
          <w:szCs w:val="24"/>
          <w:lang w:val="en-GB"/>
        </w:rPr>
        <w:t xml:space="preserve"> and </w:t>
      </w:r>
      <w:r w:rsidR="006E61CD" w:rsidRPr="51F8B297">
        <w:rPr>
          <w:rFonts w:ascii="Times New Roman" w:hAnsi="Times New Roman" w:cs="Times New Roman"/>
          <w:sz w:val="24"/>
          <w:szCs w:val="24"/>
          <w:lang w:val="en-GB"/>
        </w:rPr>
        <w:t>commits</w:t>
      </w:r>
      <w:r w:rsidR="000B07D1" w:rsidRPr="51F8B297">
        <w:rPr>
          <w:rFonts w:ascii="Times New Roman" w:hAnsi="Times New Roman" w:cs="Times New Roman"/>
          <w:sz w:val="24"/>
          <w:szCs w:val="24"/>
          <w:lang w:val="en-GB"/>
        </w:rPr>
        <w:t xml:space="preserve"> </w:t>
      </w:r>
      <w:r w:rsidR="009F3C18" w:rsidRPr="51F8B297">
        <w:rPr>
          <w:rFonts w:ascii="Times New Roman" w:hAnsi="Times New Roman" w:cs="Times New Roman"/>
          <w:sz w:val="24"/>
          <w:szCs w:val="24"/>
          <w:lang w:val="en-GB"/>
        </w:rPr>
        <w:t>M</w:t>
      </w:r>
      <w:r w:rsidR="000B07D1" w:rsidRPr="51F8B297">
        <w:rPr>
          <w:rFonts w:ascii="Times New Roman" w:hAnsi="Times New Roman" w:cs="Times New Roman"/>
          <w:sz w:val="24"/>
          <w:szCs w:val="24"/>
          <w:lang w:val="en-GB"/>
        </w:rPr>
        <w:t>ember States</w:t>
      </w:r>
      <w:r w:rsidR="00CB1A60" w:rsidRPr="51F8B297">
        <w:rPr>
          <w:rFonts w:ascii="Times New Roman" w:hAnsi="Times New Roman" w:cs="Times New Roman"/>
          <w:sz w:val="24"/>
          <w:szCs w:val="24"/>
          <w:lang w:val="en-GB"/>
        </w:rPr>
        <w:t xml:space="preserve"> </w:t>
      </w:r>
      <w:r w:rsidR="00254473" w:rsidRPr="51F8B297">
        <w:rPr>
          <w:rFonts w:ascii="Times New Roman" w:hAnsi="Times New Roman" w:cs="Times New Roman"/>
          <w:sz w:val="24"/>
          <w:szCs w:val="24"/>
          <w:lang w:val="en-GB"/>
        </w:rPr>
        <w:t>to</w:t>
      </w:r>
      <w:r w:rsidR="000022B3" w:rsidRPr="51F8B297">
        <w:rPr>
          <w:rFonts w:ascii="Times New Roman" w:hAnsi="Times New Roman" w:cs="Times New Roman"/>
          <w:sz w:val="24"/>
          <w:szCs w:val="24"/>
          <w:lang w:val="en-GB"/>
        </w:rPr>
        <w:t xml:space="preserve"> </w:t>
      </w:r>
      <w:r w:rsidR="002C731A">
        <w:rPr>
          <w:rFonts w:ascii="Times New Roman" w:hAnsi="Times New Roman" w:cs="Times New Roman"/>
          <w:sz w:val="24"/>
          <w:szCs w:val="24"/>
          <w:lang w:val="en-GB"/>
        </w:rPr>
        <w:t>support the European and g</w:t>
      </w:r>
      <w:r w:rsidR="004946B5">
        <w:rPr>
          <w:rFonts w:ascii="Times New Roman" w:hAnsi="Times New Roman" w:cs="Times New Roman"/>
          <w:sz w:val="24"/>
          <w:szCs w:val="24"/>
          <w:lang w:val="en-GB"/>
        </w:rPr>
        <w:t>lobal environment and health agenda</w:t>
      </w:r>
      <w:r w:rsidR="00CD7CF9" w:rsidRPr="51F8B297">
        <w:rPr>
          <w:rFonts w:ascii="Times New Roman" w:hAnsi="Times New Roman" w:cs="Times New Roman"/>
          <w:sz w:val="24"/>
          <w:szCs w:val="24"/>
          <w:lang w:val="en-GB"/>
        </w:rPr>
        <w:t>,</w:t>
      </w:r>
      <w:r w:rsidR="00E40698" w:rsidRPr="51F8B297">
        <w:rPr>
          <w:rFonts w:ascii="Times New Roman" w:hAnsi="Times New Roman" w:cs="Times New Roman"/>
          <w:sz w:val="24"/>
          <w:szCs w:val="24"/>
          <w:lang w:val="en-GB"/>
        </w:rPr>
        <w:t xml:space="preserve"> </w:t>
      </w:r>
      <w:r w:rsidR="00CF19D8" w:rsidRPr="51F8B297">
        <w:rPr>
          <w:rFonts w:ascii="Times New Roman" w:hAnsi="Times New Roman" w:cs="Times New Roman"/>
          <w:sz w:val="24"/>
          <w:szCs w:val="24"/>
          <w:lang w:val="en-GB"/>
        </w:rPr>
        <w:t xml:space="preserve">such as </w:t>
      </w:r>
      <w:r w:rsidRPr="37589110">
        <w:rPr>
          <w:rFonts w:ascii="Times New Roman" w:hAnsi="Times New Roman" w:cs="Times New Roman"/>
          <w:sz w:val="24"/>
          <w:szCs w:val="24"/>
          <w:lang w:val="en-GB"/>
        </w:rPr>
        <w:t>2030 Agenda for Sustainable Development and its Sustainable Development Goals (SDGs)</w:t>
      </w:r>
      <w:r w:rsidR="00C66B6E" w:rsidRPr="37589110">
        <w:rPr>
          <w:rStyle w:val="FootnoteReference"/>
          <w:rFonts w:ascii="Times New Roman" w:hAnsi="Times New Roman" w:cs="Times New Roman"/>
          <w:sz w:val="24"/>
          <w:szCs w:val="24"/>
          <w:lang w:val="en-GB"/>
        </w:rPr>
        <w:footnoteReference w:id="2"/>
      </w:r>
      <w:r w:rsidRPr="37589110">
        <w:rPr>
          <w:rFonts w:ascii="Times New Roman" w:hAnsi="Times New Roman" w:cs="Times New Roman"/>
          <w:sz w:val="24"/>
          <w:szCs w:val="24"/>
          <w:lang w:val="en-GB"/>
        </w:rPr>
        <w:t>, the WHO Global strategy on health, environment and climate change</w:t>
      </w:r>
      <w:r w:rsidRPr="37589110">
        <w:rPr>
          <w:rStyle w:val="FootnoteReference"/>
          <w:rFonts w:ascii="Times New Roman" w:hAnsi="Times New Roman" w:cs="Times New Roman"/>
          <w:sz w:val="24"/>
          <w:szCs w:val="24"/>
          <w:lang w:val="en-GB"/>
        </w:rPr>
        <w:footnoteReference w:id="3"/>
      </w:r>
      <w:r w:rsidRPr="37589110">
        <w:rPr>
          <w:rFonts w:ascii="Times New Roman" w:hAnsi="Times New Roman" w:cs="Times New Roman"/>
          <w:sz w:val="24"/>
          <w:szCs w:val="24"/>
          <w:lang w:val="en-GB"/>
        </w:rPr>
        <w:t>, the UN Climate Change Conference of the Parties consensus on key actions to address climate change</w:t>
      </w:r>
      <w:r w:rsidRPr="37589110">
        <w:rPr>
          <w:rStyle w:val="FootnoteReference"/>
          <w:rFonts w:ascii="Times New Roman" w:hAnsi="Times New Roman" w:cs="Times New Roman"/>
          <w:sz w:val="24"/>
          <w:szCs w:val="24"/>
          <w:lang w:val="en-GB"/>
        </w:rPr>
        <w:footnoteReference w:id="4"/>
      </w:r>
      <w:r w:rsidRPr="37589110">
        <w:rPr>
          <w:rFonts w:ascii="Times New Roman" w:hAnsi="Times New Roman" w:cs="Times New Roman"/>
          <w:sz w:val="24"/>
          <w:szCs w:val="24"/>
          <w:lang w:val="en-GB"/>
        </w:rPr>
        <w:t xml:space="preserve">, the WHO’s </w:t>
      </w:r>
      <w:r w:rsidR="00993A4B" w:rsidRPr="37589110">
        <w:rPr>
          <w:rFonts w:ascii="Times New Roman" w:hAnsi="Times New Roman" w:cs="Times New Roman"/>
          <w:sz w:val="24"/>
          <w:szCs w:val="24"/>
          <w:lang w:val="en-GB"/>
        </w:rPr>
        <w:t>Fourteenth</w:t>
      </w:r>
      <w:r w:rsidRPr="37589110">
        <w:rPr>
          <w:rFonts w:ascii="Times New Roman" w:hAnsi="Times New Roman" w:cs="Times New Roman"/>
          <w:sz w:val="24"/>
          <w:szCs w:val="24"/>
          <w:lang w:val="en-GB"/>
        </w:rPr>
        <w:t xml:space="preserve"> General Programme of Work (GPW1</w:t>
      </w:r>
      <w:r w:rsidR="00993A4B" w:rsidRPr="37589110">
        <w:rPr>
          <w:rFonts w:ascii="Times New Roman" w:hAnsi="Times New Roman" w:cs="Times New Roman"/>
          <w:sz w:val="24"/>
          <w:szCs w:val="24"/>
          <w:lang w:val="en-GB"/>
        </w:rPr>
        <w:t>4</w:t>
      </w:r>
      <w:r w:rsidRPr="37589110">
        <w:rPr>
          <w:rFonts w:ascii="Times New Roman" w:hAnsi="Times New Roman" w:cs="Times New Roman"/>
          <w:sz w:val="24"/>
          <w:szCs w:val="24"/>
          <w:lang w:val="en-GB"/>
        </w:rPr>
        <w:t>)</w:t>
      </w:r>
      <w:r w:rsidRPr="37589110">
        <w:rPr>
          <w:rStyle w:val="FootnoteReference"/>
          <w:rFonts w:ascii="Times New Roman" w:hAnsi="Times New Roman" w:cs="Times New Roman"/>
          <w:sz w:val="24"/>
          <w:szCs w:val="24"/>
          <w:lang w:val="en-GB"/>
        </w:rPr>
        <w:footnoteReference w:id="5"/>
      </w:r>
      <w:r w:rsidRPr="00BB555C">
        <w:rPr>
          <w:rStyle w:val="FootnoteReference"/>
          <w:rFonts w:ascii="Times New Roman" w:hAnsi="Times New Roman" w:cs="Times New Roman"/>
          <w:sz w:val="24"/>
          <w:szCs w:val="24"/>
          <w:vertAlign w:val="baseline"/>
          <w:lang w:val="en-GB"/>
        </w:rPr>
        <w:t>,</w:t>
      </w:r>
      <w:r w:rsidRPr="37589110">
        <w:rPr>
          <w:rStyle w:val="FootnoteReference"/>
          <w:rFonts w:ascii="Times New Roman" w:hAnsi="Times New Roman" w:cs="Times New Roman"/>
          <w:sz w:val="24"/>
          <w:szCs w:val="24"/>
          <w:lang w:val="en-GB"/>
        </w:rPr>
        <w:t xml:space="preserve"> </w:t>
      </w:r>
      <w:r w:rsidRPr="37589110">
        <w:rPr>
          <w:rFonts w:ascii="Times New Roman" w:hAnsi="Times New Roman" w:cs="Times New Roman"/>
          <w:sz w:val="24"/>
          <w:szCs w:val="24"/>
          <w:lang w:val="en-GB"/>
        </w:rPr>
        <w:t>the European Programme of Work, 2020–2025 – “United Action for Better Health in Europe”</w:t>
      </w:r>
      <w:r w:rsidRPr="37589110">
        <w:rPr>
          <w:rStyle w:val="FootnoteReference"/>
          <w:rFonts w:ascii="Times New Roman" w:hAnsi="Times New Roman" w:cs="Times New Roman"/>
          <w:sz w:val="24"/>
          <w:szCs w:val="24"/>
          <w:lang w:val="en-GB"/>
        </w:rPr>
        <w:footnoteReference w:id="6"/>
      </w:r>
      <w:r w:rsidRPr="37589110">
        <w:rPr>
          <w:rFonts w:ascii="Times New Roman" w:hAnsi="Times New Roman" w:cs="Times New Roman"/>
          <w:sz w:val="24"/>
          <w:szCs w:val="24"/>
          <w:lang w:val="en-GB"/>
        </w:rPr>
        <w:t xml:space="preserve"> (EPW), with particular reference to EPW core priority 3 (promoting health and well-being), </w:t>
      </w:r>
      <w:r w:rsidR="008A7E03" w:rsidRPr="37589110">
        <w:rPr>
          <w:rFonts w:ascii="Times New Roman" w:hAnsi="Times New Roman" w:cs="Times New Roman"/>
          <w:sz w:val="24"/>
          <w:szCs w:val="24"/>
          <w:lang w:val="en-GB"/>
        </w:rPr>
        <w:t xml:space="preserve">the </w:t>
      </w:r>
      <w:r w:rsidR="00993A4B" w:rsidRPr="37589110">
        <w:rPr>
          <w:rFonts w:ascii="Times New Roman" w:hAnsi="Times New Roman" w:cs="Times New Roman"/>
          <w:sz w:val="24"/>
          <w:szCs w:val="24"/>
          <w:lang w:val="en-GB"/>
        </w:rPr>
        <w:t>New Urban Agenda</w:t>
      </w:r>
      <w:r w:rsidR="008A7E03" w:rsidRPr="37589110">
        <w:rPr>
          <w:rStyle w:val="FootnoteReference"/>
          <w:rFonts w:ascii="Times New Roman" w:hAnsi="Times New Roman" w:cs="Times New Roman"/>
          <w:sz w:val="24"/>
          <w:szCs w:val="24"/>
          <w:lang w:val="en-GB"/>
        </w:rPr>
        <w:footnoteReference w:id="7"/>
      </w:r>
      <w:r w:rsidR="00993A4B" w:rsidRPr="37589110">
        <w:rPr>
          <w:rFonts w:ascii="Times New Roman" w:hAnsi="Times New Roman" w:cs="Times New Roman"/>
          <w:sz w:val="24"/>
          <w:szCs w:val="24"/>
          <w:lang w:val="en-GB"/>
        </w:rPr>
        <w:t xml:space="preserve">, </w:t>
      </w:r>
      <w:r w:rsidRPr="37589110">
        <w:rPr>
          <w:rFonts w:ascii="Times New Roman" w:hAnsi="Times New Roman" w:cs="Times New Roman"/>
          <w:sz w:val="24"/>
          <w:szCs w:val="24"/>
          <w:lang w:val="en-GB"/>
        </w:rPr>
        <w:t xml:space="preserve">relevant WHA Resolutions, as </w:t>
      </w:r>
      <w:r w:rsidRPr="37589110">
        <w:rPr>
          <w:rFonts w:ascii="Times New Roman" w:hAnsi="Times New Roman" w:cs="Times New Roman"/>
          <w:sz w:val="24"/>
          <w:szCs w:val="24"/>
          <w:lang w:val="en-GB"/>
        </w:rPr>
        <w:lastRenderedPageBreak/>
        <w:t xml:space="preserve">well as relevant regional and global multilateral environmental agreements and </w:t>
      </w:r>
      <w:r w:rsidR="006D4114">
        <w:rPr>
          <w:rFonts w:ascii="Times New Roman" w:hAnsi="Times New Roman" w:cs="Times New Roman"/>
          <w:sz w:val="24"/>
          <w:szCs w:val="24"/>
          <w:lang w:val="en-GB"/>
        </w:rPr>
        <w:t>sub-</w:t>
      </w:r>
      <w:r w:rsidRPr="37589110">
        <w:rPr>
          <w:rFonts w:ascii="Times New Roman" w:hAnsi="Times New Roman" w:cs="Times New Roman"/>
          <w:sz w:val="24"/>
          <w:szCs w:val="24"/>
          <w:lang w:val="en-GB"/>
        </w:rPr>
        <w:t>regional initiatives like the European Union Green Deal</w:t>
      </w:r>
      <w:r w:rsidRPr="37589110">
        <w:rPr>
          <w:rStyle w:val="FootnoteReference"/>
          <w:rFonts w:ascii="Times New Roman" w:hAnsi="Times New Roman" w:cs="Times New Roman"/>
          <w:sz w:val="24"/>
          <w:szCs w:val="24"/>
          <w:lang w:val="en-GB"/>
        </w:rPr>
        <w:footnoteReference w:id="8"/>
      </w:r>
      <w:r w:rsidRPr="37589110">
        <w:rPr>
          <w:rFonts w:ascii="Times New Roman" w:hAnsi="Times New Roman" w:cs="Times New Roman"/>
          <w:sz w:val="24"/>
          <w:szCs w:val="24"/>
          <w:lang w:val="en-GB"/>
        </w:rPr>
        <w:t>.</w:t>
      </w:r>
    </w:p>
    <w:p w14:paraId="5ABF7E7A" w14:textId="6CE528EB" w:rsidR="002B0EB0" w:rsidRDefault="0087327D" w:rsidP="009A0BC4">
      <w:pPr>
        <w:pStyle w:val="Heading2"/>
        <w:numPr>
          <w:ilvl w:val="1"/>
          <w:numId w:val="31"/>
        </w:numPr>
        <w:rPr>
          <w:lang w:val="en-GB"/>
        </w:rPr>
      </w:pPr>
      <w:bookmarkStart w:id="2" w:name="_Toc164096694"/>
      <w:r>
        <w:rPr>
          <w:lang w:val="en-GB"/>
        </w:rPr>
        <w:t>The</w:t>
      </w:r>
      <w:r w:rsidR="00C9492B" w:rsidRPr="2BFC280C">
        <w:rPr>
          <w:lang w:val="en-GB"/>
        </w:rPr>
        <w:t xml:space="preserve"> Budapest </w:t>
      </w:r>
      <w:r w:rsidR="007C5BA7">
        <w:rPr>
          <w:lang w:val="en-GB"/>
        </w:rPr>
        <w:t>Declaration</w:t>
      </w:r>
      <w:bookmarkEnd w:id="2"/>
    </w:p>
    <w:p w14:paraId="56CA2E52" w14:textId="207DE21B" w:rsidR="009A0BC4" w:rsidRDefault="00067C31" w:rsidP="009A0BC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The Budapest Declaration is an agreement among Member States of the WHO</w:t>
      </w:r>
      <w:r>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Europe</w:t>
      </w:r>
      <w:r>
        <w:rPr>
          <w:rFonts w:ascii="Times New Roman" w:hAnsi="Times New Roman" w:cs="Times New Roman"/>
          <w:sz w:val="24"/>
          <w:szCs w:val="24"/>
          <w:lang w:val="en-GB"/>
        </w:rPr>
        <w:t>an Region</w:t>
      </w:r>
      <w:r w:rsidR="00AB3408">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formulat</w:t>
      </w:r>
      <w:r w:rsidR="00AB3408">
        <w:rPr>
          <w:rFonts w:ascii="Times New Roman" w:hAnsi="Times New Roman" w:cs="Times New Roman"/>
          <w:sz w:val="24"/>
          <w:szCs w:val="24"/>
          <w:lang w:val="en-GB"/>
        </w:rPr>
        <w:t>ing</w:t>
      </w:r>
      <w:r w:rsidRPr="51F8B297">
        <w:rPr>
          <w:rFonts w:ascii="Times New Roman" w:hAnsi="Times New Roman" w:cs="Times New Roman"/>
          <w:sz w:val="24"/>
          <w:szCs w:val="24"/>
          <w:lang w:val="en-GB"/>
        </w:rPr>
        <w:t xml:space="preserve"> political commitments and actions to </w:t>
      </w:r>
      <w:r>
        <w:rPr>
          <w:rFonts w:ascii="Times New Roman" w:hAnsi="Times New Roman" w:cs="Times New Roman"/>
          <w:sz w:val="24"/>
          <w:szCs w:val="24"/>
          <w:lang w:val="en-GB"/>
        </w:rPr>
        <w:t xml:space="preserve">address </w:t>
      </w:r>
      <w:r w:rsidRPr="0023288E">
        <w:rPr>
          <w:rFonts w:ascii="Times New Roman" w:hAnsi="Times New Roman" w:cs="Times New Roman"/>
          <w:sz w:val="24"/>
          <w:szCs w:val="24"/>
          <w:lang w:val="en-GB"/>
        </w:rPr>
        <w:t xml:space="preserve">health challenges related to </w:t>
      </w:r>
      <w:r w:rsidR="00BC48A7">
        <w:rPr>
          <w:rFonts w:ascii="Times New Roman" w:hAnsi="Times New Roman" w:cs="Times New Roman"/>
          <w:sz w:val="24"/>
          <w:szCs w:val="24"/>
          <w:lang w:val="en-GB"/>
        </w:rPr>
        <w:t xml:space="preserve">the intertwining between </w:t>
      </w:r>
      <w:r w:rsidRPr="0023288E">
        <w:rPr>
          <w:rFonts w:ascii="Times New Roman" w:hAnsi="Times New Roman" w:cs="Times New Roman"/>
          <w:sz w:val="24"/>
          <w:szCs w:val="24"/>
          <w:lang w:val="en-GB"/>
        </w:rPr>
        <w:t xml:space="preserve">climate change, environmental </w:t>
      </w:r>
      <w:proofErr w:type="gramStart"/>
      <w:r w:rsidRPr="0023288E">
        <w:rPr>
          <w:rFonts w:ascii="Times New Roman" w:hAnsi="Times New Roman" w:cs="Times New Roman"/>
          <w:sz w:val="24"/>
          <w:szCs w:val="24"/>
          <w:lang w:val="en-GB"/>
        </w:rPr>
        <w:t>pollution</w:t>
      </w:r>
      <w:proofErr w:type="gramEnd"/>
      <w:r w:rsidR="00BE6327">
        <w:rPr>
          <w:rFonts w:ascii="Times New Roman" w:hAnsi="Times New Roman" w:cs="Times New Roman"/>
          <w:sz w:val="24"/>
          <w:szCs w:val="24"/>
          <w:lang w:val="en-GB"/>
        </w:rPr>
        <w:t xml:space="preserve"> and</w:t>
      </w:r>
      <w:r w:rsidRPr="0023288E">
        <w:rPr>
          <w:rFonts w:ascii="Times New Roman" w:hAnsi="Times New Roman" w:cs="Times New Roman"/>
          <w:sz w:val="24"/>
          <w:szCs w:val="24"/>
          <w:lang w:val="en-GB"/>
        </w:rPr>
        <w:t xml:space="preserve"> biodiversity loss along with, and in the context of, recovery from COVID-19.</w:t>
      </w:r>
    </w:p>
    <w:p w14:paraId="6A6C3633" w14:textId="392B8CED" w:rsidR="006A2D5A" w:rsidRPr="009A0BC4" w:rsidRDefault="006A2D5A" w:rsidP="009A0BC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9A0BC4">
        <w:rPr>
          <w:rFonts w:ascii="Times New Roman" w:hAnsi="Times New Roman" w:cs="Times New Roman"/>
          <w:sz w:val="24"/>
          <w:szCs w:val="24"/>
          <w:lang w:val="en-GB"/>
        </w:rPr>
        <w:t>The adoption of the Budapest Declaration was preceded by a wide, transparent, and inclusive</w:t>
      </w:r>
      <w:r w:rsidR="009A0BC4" w:rsidRPr="009A0BC4">
        <w:rPr>
          <w:rFonts w:ascii="Times New Roman" w:hAnsi="Times New Roman" w:cs="Times New Roman"/>
          <w:sz w:val="24"/>
          <w:szCs w:val="24"/>
          <w:lang w:val="en-GB"/>
        </w:rPr>
        <w:t xml:space="preserve"> </w:t>
      </w:r>
      <w:r w:rsidRPr="009A0BC4">
        <w:rPr>
          <w:rFonts w:ascii="Times New Roman" w:hAnsi="Times New Roman" w:cs="Times New Roman"/>
          <w:sz w:val="24"/>
          <w:szCs w:val="24"/>
          <w:lang w:val="en-GB"/>
        </w:rPr>
        <w:t>negotiation process among Member States of the WHO European Region. This process was steered by the EHTF and its Bureau.</w:t>
      </w:r>
    </w:p>
    <w:p w14:paraId="0FFF87A0" w14:textId="3E46DD95" w:rsidR="0023288E" w:rsidRDefault="0023288E" w:rsidP="009A0BC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23288E">
        <w:rPr>
          <w:rFonts w:ascii="Times New Roman" w:hAnsi="Times New Roman" w:cs="Times New Roman"/>
          <w:sz w:val="24"/>
          <w:szCs w:val="24"/>
          <w:lang w:val="en-GB"/>
        </w:rPr>
        <w:t xml:space="preserve">Within the Declaration, the Roadmap </w:t>
      </w:r>
      <w:r w:rsidR="00730F65">
        <w:rPr>
          <w:rFonts w:ascii="Times New Roman" w:hAnsi="Times New Roman" w:cs="Times New Roman"/>
          <w:sz w:val="24"/>
          <w:szCs w:val="24"/>
          <w:lang w:val="en-GB"/>
        </w:rPr>
        <w:t xml:space="preserve">to </w:t>
      </w:r>
      <w:r w:rsidRPr="0023288E">
        <w:rPr>
          <w:rFonts w:ascii="Times New Roman" w:hAnsi="Times New Roman" w:cs="Times New Roman"/>
          <w:sz w:val="24"/>
          <w:szCs w:val="24"/>
          <w:lang w:val="en-GB"/>
        </w:rPr>
        <w:t xml:space="preserve">2030 guides countries in accelerating the transitions needed towards making communities sustainable. The </w:t>
      </w:r>
      <w:proofErr w:type="gramStart"/>
      <w:r w:rsidRPr="0023288E">
        <w:rPr>
          <w:rFonts w:ascii="Times New Roman" w:hAnsi="Times New Roman" w:cs="Times New Roman"/>
          <w:sz w:val="24"/>
          <w:szCs w:val="24"/>
          <w:lang w:val="en-GB"/>
        </w:rPr>
        <w:t>Roadmap</w:t>
      </w:r>
      <w:proofErr w:type="gramEnd"/>
      <w:r w:rsidRPr="0023288E">
        <w:rPr>
          <w:rFonts w:ascii="Times New Roman" w:hAnsi="Times New Roman" w:cs="Times New Roman"/>
          <w:sz w:val="24"/>
          <w:szCs w:val="24"/>
          <w:lang w:val="en-GB"/>
        </w:rPr>
        <w:t xml:space="preserve"> explains why urgent action is needed in a particular area, offers a list of commitments countries can consider, and suggests measures to achieve them.</w:t>
      </w:r>
    </w:p>
    <w:p w14:paraId="0B583155" w14:textId="1E4592CE" w:rsidR="00383F19" w:rsidRDefault="00383F19" w:rsidP="006A2D5A">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By adopting the Budapest Declaration, countries </w:t>
      </w:r>
      <w:r w:rsidR="0023288E" w:rsidRPr="0023288E">
        <w:rPr>
          <w:rFonts w:ascii="Times New Roman" w:hAnsi="Times New Roman" w:cs="Times New Roman"/>
          <w:sz w:val="24"/>
          <w:szCs w:val="24"/>
          <w:lang w:val="en-GB"/>
        </w:rPr>
        <w:t xml:space="preserve">committed to tackling pollution; ensuring everyone has access to safe water, </w:t>
      </w:r>
      <w:proofErr w:type="gramStart"/>
      <w:r w:rsidR="0023288E" w:rsidRPr="0023288E">
        <w:rPr>
          <w:rFonts w:ascii="Times New Roman" w:hAnsi="Times New Roman" w:cs="Times New Roman"/>
          <w:sz w:val="24"/>
          <w:szCs w:val="24"/>
          <w:lang w:val="en-GB"/>
        </w:rPr>
        <w:t>sanitation</w:t>
      </w:r>
      <w:proofErr w:type="gramEnd"/>
      <w:r w:rsidR="0023288E" w:rsidRPr="0023288E">
        <w:rPr>
          <w:rFonts w:ascii="Times New Roman" w:hAnsi="Times New Roman" w:cs="Times New Roman"/>
          <w:sz w:val="24"/>
          <w:szCs w:val="24"/>
          <w:lang w:val="en-GB"/>
        </w:rPr>
        <w:t xml:space="preserve"> and hygiene; integrating nature and biodiversity considerations into policies; and promoting a clean, safe and healthy built environment. Additional commitments target health systems and youth organizations.</w:t>
      </w:r>
    </w:p>
    <w:p w14:paraId="396103B8" w14:textId="16BC8ABC" w:rsidR="00C56A9A" w:rsidRPr="00B976C4" w:rsidRDefault="003C08AA" w:rsidP="006A2D5A">
      <w:pPr>
        <w:pStyle w:val="ListParagraph"/>
        <w:numPr>
          <w:ilvl w:val="0"/>
          <w:numId w:val="1"/>
        </w:numPr>
        <w:spacing w:before="120" w:after="120" w:line="259" w:lineRule="auto"/>
        <w:ind w:left="432" w:hanging="432"/>
        <w:contextualSpacing w:val="0"/>
        <w:jc w:val="both"/>
        <w:rPr>
          <w:rFonts w:asciiTheme="majorHAnsi" w:eastAsiaTheme="majorEastAsia" w:hAnsiTheme="majorHAnsi" w:cstheme="majorBidi"/>
          <w:sz w:val="24"/>
          <w:szCs w:val="24"/>
          <w:lang w:val="en-GB"/>
        </w:rPr>
      </w:pPr>
      <w:r w:rsidRPr="51F8B297">
        <w:rPr>
          <w:rFonts w:ascii="Times New Roman" w:hAnsi="Times New Roman" w:cs="Times New Roman"/>
          <w:sz w:val="24"/>
          <w:szCs w:val="24"/>
          <w:lang w:val="en-GB"/>
        </w:rPr>
        <w:t>T</w:t>
      </w:r>
      <w:r w:rsidR="004E7B14" w:rsidRPr="51F8B297">
        <w:rPr>
          <w:rFonts w:ascii="Times New Roman" w:hAnsi="Times New Roman" w:cs="Times New Roman"/>
          <w:sz w:val="24"/>
          <w:szCs w:val="24"/>
          <w:lang w:val="en-GB"/>
        </w:rPr>
        <w:t xml:space="preserve">o achieve this, countries </w:t>
      </w:r>
      <w:r w:rsidR="008665E4" w:rsidRPr="51F8B297">
        <w:rPr>
          <w:rFonts w:ascii="Times New Roman" w:hAnsi="Times New Roman" w:cs="Times New Roman"/>
          <w:sz w:val="24"/>
          <w:szCs w:val="24"/>
          <w:lang w:val="en-GB"/>
        </w:rPr>
        <w:t xml:space="preserve">committed to </w:t>
      </w:r>
      <w:r w:rsidR="000A2B05">
        <w:rPr>
          <w:rFonts w:ascii="Times New Roman" w:hAnsi="Times New Roman" w:cs="Times New Roman"/>
          <w:sz w:val="24"/>
          <w:szCs w:val="24"/>
          <w:lang w:val="en-GB"/>
        </w:rPr>
        <w:t>build</w:t>
      </w:r>
      <w:r w:rsidR="00FA5B63" w:rsidRPr="51F8B297">
        <w:rPr>
          <w:rFonts w:ascii="Times New Roman" w:hAnsi="Times New Roman" w:cs="Times New Roman"/>
          <w:sz w:val="24"/>
          <w:szCs w:val="24"/>
          <w:lang w:val="en-GB"/>
        </w:rPr>
        <w:t>ing</w:t>
      </w:r>
      <w:r w:rsidR="000A2B05">
        <w:rPr>
          <w:rFonts w:ascii="Times New Roman" w:hAnsi="Times New Roman" w:cs="Times New Roman"/>
          <w:sz w:val="24"/>
          <w:szCs w:val="24"/>
          <w:lang w:val="en-GB"/>
        </w:rPr>
        <w:t xml:space="preserve"> partnerships for joint action, </w:t>
      </w:r>
      <w:r w:rsidR="00064CC1">
        <w:rPr>
          <w:rFonts w:ascii="Times New Roman" w:hAnsi="Times New Roman" w:cs="Times New Roman"/>
          <w:sz w:val="24"/>
          <w:szCs w:val="24"/>
          <w:lang w:val="en-GB"/>
        </w:rPr>
        <w:t>improving governance for environment and health, investing in human resources and capacities,</w:t>
      </w:r>
      <w:r w:rsidR="00D760B5" w:rsidRPr="51F8B297">
        <w:rPr>
          <w:rFonts w:ascii="Times New Roman" w:hAnsi="Times New Roman" w:cs="Times New Roman"/>
          <w:sz w:val="24"/>
          <w:szCs w:val="24"/>
          <w:lang w:val="en-GB"/>
        </w:rPr>
        <w:t xml:space="preserve"> fostering</w:t>
      </w:r>
      <w:r w:rsidR="00064CC1">
        <w:rPr>
          <w:rFonts w:ascii="Times New Roman" w:hAnsi="Times New Roman" w:cs="Times New Roman"/>
          <w:sz w:val="24"/>
          <w:szCs w:val="24"/>
          <w:lang w:val="en-GB"/>
        </w:rPr>
        <w:t xml:space="preserve"> </w:t>
      </w:r>
      <w:r w:rsidR="00557E10">
        <w:rPr>
          <w:rFonts w:ascii="Times New Roman" w:hAnsi="Times New Roman" w:cs="Times New Roman"/>
          <w:sz w:val="24"/>
          <w:szCs w:val="24"/>
          <w:lang w:val="en-GB"/>
        </w:rPr>
        <w:t xml:space="preserve">innovation and research, </w:t>
      </w:r>
      <w:r w:rsidR="00C56A9A" w:rsidRPr="51F8B297">
        <w:rPr>
          <w:rFonts w:ascii="Times New Roman" w:hAnsi="Times New Roman" w:cs="Times New Roman"/>
          <w:sz w:val="24"/>
          <w:szCs w:val="24"/>
          <w:lang w:val="en-GB"/>
        </w:rPr>
        <w:t xml:space="preserve">and advancing knowledge and tools for action </w:t>
      </w:r>
      <w:r w:rsidR="00557E10">
        <w:rPr>
          <w:rFonts w:ascii="Times New Roman" w:hAnsi="Times New Roman" w:cs="Times New Roman"/>
          <w:sz w:val="24"/>
          <w:szCs w:val="24"/>
          <w:lang w:val="en-GB"/>
        </w:rPr>
        <w:t>while recovering from the COVID-19 pandemic</w:t>
      </w:r>
      <w:r w:rsidR="00283F74" w:rsidRPr="37589110">
        <w:rPr>
          <w:rStyle w:val="FootnoteReference"/>
          <w:rFonts w:ascii="Times New Roman" w:hAnsi="Times New Roman" w:cs="Times New Roman"/>
          <w:sz w:val="24"/>
          <w:szCs w:val="24"/>
          <w:lang w:val="en-GB"/>
        </w:rPr>
        <w:footnoteReference w:id="9"/>
      </w:r>
      <w:r w:rsidR="00557E10">
        <w:rPr>
          <w:rFonts w:ascii="Times New Roman" w:hAnsi="Times New Roman" w:cs="Times New Roman"/>
          <w:sz w:val="24"/>
          <w:szCs w:val="24"/>
          <w:lang w:val="en-GB"/>
        </w:rPr>
        <w:t>.</w:t>
      </w:r>
      <w:r w:rsidR="00C56A9A" w:rsidRPr="51F8B297">
        <w:rPr>
          <w:rFonts w:ascii="Times New Roman" w:hAnsi="Times New Roman" w:cs="Times New Roman"/>
          <w:sz w:val="24"/>
          <w:szCs w:val="24"/>
          <w:lang w:val="en-GB"/>
        </w:rPr>
        <w:t xml:space="preserve"> </w:t>
      </w:r>
      <w:r w:rsidR="007D4854">
        <w:rPr>
          <w:rFonts w:ascii="Times New Roman" w:hAnsi="Times New Roman" w:cs="Times New Roman"/>
          <w:sz w:val="24"/>
          <w:szCs w:val="24"/>
          <w:lang w:val="en-GB"/>
        </w:rPr>
        <w:t>Countries</w:t>
      </w:r>
      <w:r w:rsidR="007D4854" w:rsidRPr="51F8B297">
        <w:rPr>
          <w:rFonts w:ascii="Times New Roman" w:hAnsi="Times New Roman" w:cs="Times New Roman"/>
          <w:sz w:val="24"/>
          <w:szCs w:val="24"/>
          <w:lang w:val="en-GB"/>
        </w:rPr>
        <w:t xml:space="preserve"> </w:t>
      </w:r>
      <w:r w:rsidR="00C56A9A" w:rsidRPr="51F8B297">
        <w:rPr>
          <w:rFonts w:ascii="Times New Roman" w:hAnsi="Times New Roman" w:cs="Times New Roman"/>
          <w:sz w:val="24"/>
          <w:szCs w:val="24"/>
          <w:lang w:val="en-GB"/>
        </w:rPr>
        <w:t>also emphasize</w:t>
      </w:r>
      <w:r w:rsidR="007D4854">
        <w:rPr>
          <w:rFonts w:ascii="Times New Roman" w:hAnsi="Times New Roman" w:cs="Times New Roman"/>
          <w:sz w:val="24"/>
          <w:szCs w:val="24"/>
          <w:lang w:val="en-GB"/>
        </w:rPr>
        <w:t>d</w:t>
      </w:r>
      <w:r w:rsidR="00C56A9A" w:rsidRPr="51F8B297">
        <w:rPr>
          <w:rFonts w:ascii="Times New Roman" w:hAnsi="Times New Roman" w:cs="Times New Roman"/>
          <w:sz w:val="24"/>
          <w:szCs w:val="24"/>
          <w:lang w:val="en-GB"/>
        </w:rPr>
        <w:t xml:space="preserve"> the support and empowerment to youth organizations to make their action more relevant in </w:t>
      </w:r>
      <w:proofErr w:type="gramStart"/>
      <w:r w:rsidR="00C56A9A" w:rsidRPr="51F8B297">
        <w:rPr>
          <w:rFonts w:ascii="Times New Roman" w:hAnsi="Times New Roman" w:cs="Times New Roman"/>
          <w:sz w:val="24"/>
          <w:szCs w:val="24"/>
          <w:lang w:val="en-GB"/>
        </w:rPr>
        <w:t>policy-making</w:t>
      </w:r>
      <w:proofErr w:type="gramEnd"/>
      <w:r w:rsidR="00C56A9A" w:rsidRPr="51F8B297">
        <w:rPr>
          <w:rFonts w:ascii="Times New Roman" w:hAnsi="Times New Roman" w:cs="Times New Roman"/>
          <w:sz w:val="24"/>
          <w:szCs w:val="24"/>
          <w:lang w:val="en-GB"/>
        </w:rPr>
        <w:t xml:space="preserve"> and implementation.</w:t>
      </w:r>
    </w:p>
    <w:p w14:paraId="11DAE03C" w14:textId="5A230644" w:rsidR="00117882" w:rsidRDefault="006139B6" w:rsidP="006A2D5A">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Countries committed to mak</w:t>
      </w:r>
      <w:r w:rsidR="00A43BDE" w:rsidRPr="51F8B297">
        <w:rPr>
          <w:rFonts w:ascii="Times New Roman" w:hAnsi="Times New Roman" w:cs="Times New Roman"/>
          <w:sz w:val="24"/>
          <w:szCs w:val="24"/>
          <w:lang w:val="en-GB"/>
        </w:rPr>
        <w:t>ing</w:t>
      </w:r>
      <w:r w:rsidRPr="51F8B297">
        <w:rPr>
          <w:rFonts w:ascii="Times New Roman" w:hAnsi="Times New Roman" w:cs="Times New Roman"/>
          <w:sz w:val="24"/>
          <w:szCs w:val="24"/>
          <w:lang w:val="en-GB"/>
        </w:rPr>
        <w:t xml:space="preserve"> a</w:t>
      </w:r>
      <w:r w:rsidR="00426F89" w:rsidRPr="51F8B297">
        <w:rPr>
          <w:rFonts w:ascii="Times New Roman" w:hAnsi="Times New Roman" w:cs="Times New Roman"/>
          <w:sz w:val="24"/>
          <w:szCs w:val="24"/>
          <w:lang w:val="en-GB"/>
        </w:rPr>
        <w:t xml:space="preserve"> transformational change</w:t>
      </w:r>
      <w:r w:rsidR="003413C0" w:rsidRPr="51F8B297">
        <w:rPr>
          <w:rFonts w:ascii="Times New Roman" w:hAnsi="Times New Roman" w:cs="Times New Roman"/>
          <w:sz w:val="24"/>
          <w:szCs w:val="24"/>
          <w:lang w:val="en-GB"/>
        </w:rPr>
        <w:t xml:space="preserve"> by</w:t>
      </w:r>
      <w:r w:rsidR="00283F74" w:rsidRPr="51F8B297">
        <w:rPr>
          <w:rFonts w:ascii="Times New Roman" w:hAnsi="Times New Roman" w:cs="Times New Roman"/>
          <w:sz w:val="24"/>
          <w:szCs w:val="24"/>
          <w:lang w:val="en-GB"/>
        </w:rPr>
        <w:t xml:space="preserve"> breaking the silos,</w:t>
      </w:r>
      <w:r w:rsidR="0006613E" w:rsidRPr="51F8B297">
        <w:rPr>
          <w:rFonts w:ascii="Times New Roman" w:hAnsi="Times New Roman" w:cs="Times New Roman"/>
          <w:sz w:val="24"/>
          <w:szCs w:val="24"/>
          <w:lang w:val="en-GB"/>
        </w:rPr>
        <w:t xml:space="preserve"> </w:t>
      </w:r>
      <w:r w:rsidR="006A6E04" w:rsidRPr="51F8B297">
        <w:rPr>
          <w:rFonts w:ascii="Times New Roman" w:hAnsi="Times New Roman" w:cs="Times New Roman"/>
          <w:sz w:val="24"/>
          <w:szCs w:val="24"/>
          <w:lang w:val="en-GB"/>
        </w:rPr>
        <w:t>advocat</w:t>
      </w:r>
      <w:r w:rsidR="0006613E" w:rsidRPr="51F8B297">
        <w:rPr>
          <w:rFonts w:ascii="Times New Roman" w:hAnsi="Times New Roman" w:cs="Times New Roman"/>
          <w:sz w:val="24"/>
          <w:szCs w:val="24"/>
          <w:lang w:val="en-GB"/>
        </w:rPr>
        <w:t xml:space="preserve">ing the use of </w:t>
      </w:r>
      <w:r w:rsidR="006A6E04" w:rsidRPr="51F8B297">
        <w:rPr>
          <w:rFonts w:ascii="Times New Roman" w:hAnsi="Times New Roman" w:cs="Times New Roman"/>
          <w:sz w:val="24"/>
          <w:szCs w:val="24"/>
          <w:lang w:val="en-GB"/>
        </w:rPr>
        <w:t xml:space="preserve">the One Health and Planetary Health approaches, </w:t>
      </w:r>
      <w:r w:rsidR="00FA63CE" w:rsidRPr="51F8B297">
        <w:rPr>
          <w:rFonts w:ascii="Times New Roman" w:hAnsi="Times New Roman" w:cs="Times New Roman"/>
          <w:sz w:val="24"/>
          <w:szCs w:val="24"/>
          <w:lang w:val="en-GB"/>
        </w:rPr>
        <w:t xml:space="preserve">and </w:t>
      </w:r>
      <w:r w:rsidR="006A6E04" w:rsidRPr="51F8B297">
        <w:rPr>
          <w:rFonts w:ascii="Times New Roman" w:hAnsi="Times New Roman" w:cs="Times New Roman"/>
          <w:sz w:val="24"/>
          <w:szCs w:val="24"/>
          <w:lang w:val="en-GB"/>
        </w:rPr>
        <w:t>follow</w:t>
      </w:r>
      <w:r w:rsidR="0006613E" w:rsidRPr="51F8B297">
        <w:rPr>
          <w:rFonts w:ascii="Times New Roman" w:hAnsi="Times New Roman" w:cs="Times New Roman"/>
          <w:sz w:val="24"/>
          <w:szCs w:val="24"/>
          <w:lang w:val="en-GB"/>
        </w:rPr>
        <w:t>ing</w:t>
      </w:r>
      <w:r w:rsidR="00C9492B" w:rsidRPr="51F8B297">
        <w:rPr>
          <w:rFonts w:ascii="Times New Roman" w:hAnsi="Times New Roman" w:cs="Times New Roman"/>
          <w:sz w:val="24"/>
          <w:szCs w:val="24"/>
          <w:lang w:val="en-GB"/>
        </w:rPr>
        <w:t xml:space="preserve"> a dual-track approach to address the pressing </w:t>
      </w:r>
      <w:r w:rsidR="006A6E04" w:rsidRPr="51F8B297">
        <w:rPr>
          <w:rFonts w:ascii="Times New Roman" w:hAnsi="Times New Roman" w:cs="Times New Roman"/>
          <w:sz w:val="24"/>
          <w:szCs w:val="24"/>
          <w:lang w:val="en-GB"/>
        </w:rPr>
        <w:t xml:space="preserve">environment and health </w:t>
      </w:r>
      <w:r w:rsidR="00C9492B" w:rsidRPr="51F8B297">
        <w:rPr>
          <w:rFonts w:ascii="Times New Roman" w:hAnsi="Times New Roman" w:cs="Times New Roman"/>
          <w:sz w:val="24"/>
          <w:szCs w:val="24"/>
          <w:lang w:val="en-GB"/>
        </w:rPr>
        <w:t>challenges</w:t>
      </w:r>
      <w:r w:rsidR="0097446C" w:rsidRPr="51F8B297">
        <w:rPr>
          <w:rFonts w:ascii="Times New Roman" w:hAnsi="Times New Roman" w:cs="Times New Roman"/>
          <w:sz w:val="24"/>
          <w:szCs w:val="24"/>
          <w:lang w:val="en-GB"/>
        </w:rPr>
        <w:t>. U</w:t>
      </w:r>
      <w:r w:rsidR="0006613E" w:rsidRPr="51F8B297">
        <w:rPr>
          <w:rFonts w:ascii="Times New Roman" w:hAnsi="Times New Roman" w:cs="Times New Roman"/>
          <w:sz w:val="24"/>
          <w:szCs w:val="24"/>
          <w:lang w:val="en-GB"/>
        </w:rPr>
        <w:t>ltimately</w:t>
      </w:r>
      <w:r w:rsidR="00283F74" w:rsidRPr="51F8B297">
        <w:rPr>
          <w:rFonts w:ascii="Times New Roman" w:hAnsi="Times New Roman" w:cs="Times New Roman"/>
          <w:sz w:val="24"/>
          <w:szCs w:val="24"/>
          <w:lang w:val="en-GB"/>
        </w:rPr>
        <w:t xml:space="preserve"> </w:t>
      </w:r>
      <w:r w:rsidR="0097446C" w:rsidRPr="51F8B297">
        <w:rPr>
          <w:rFonts w:ascii="Times New Roman" w:hAnsi="Times New Roman" w:cs="Times New Roman"/>
          <w:sz w:val="24"/>
          <w:szCs w:val="24"/>
          <w:lang w:val="en-GB"/>
        </w:rPr>
        <w:t xml:space="preserve">this </w:t>
      </w:r>
      <w:r w:rsidR="00283F74" w:rsidRPr="51F8B297">
        <w:rPr>
          <w:rFonts w:ascii="Times New Roman" w:hAnsi="Times New Roman" w:cs="Times New Roman"/>
          <w:sz w:val="24"/>
          <w:szCs w:val="24"/>
          <w:lang w:val="en-GB"/>
        </w:rPr>
        <w:t>lay</w:t>
      </w:r>
      <w:r w:rsidR="00606CC9" w:rsidRPr="51F8B297">
        <w:rPr>
          <w:rFonts w:ascii="Times New Roman" w:hAnsi="Times New Roman" w:cs="Times New Roman"/>
          <w:sz w:val="24"/>
          <w:szCs w:val="24"/>
          <w:lang w:val="en-GB"/>
        </w:rPr>
        <w:t>s</w:t>
      </w:r>
      <w:r w:rsidR="00283F74" w:rsidRPr="51F8B297">
        <w:rPr>
          <w:rFonts w:ascii="Times New Roman" w:hAnsi="Times New Roman" w:cs="Times New Roman"/>
          <w:sz w:val="24"/>
          <w:szCs w:val="24"/>
          <w:lang w:val="en-GB"/>
        </w:rPr>
        <w:t xml:space="preserve"> the foundation for a just transition to resilient, healthy, equitable, and sustainable societies</w:t>
      </w:r>
      <w:r w:rsidR="006A6E04" w:rsidRPr="51F8B297">
        <w:rPr>
          <w:rFonts w:ascii="Times New Roman" w:hAnsi="Times New Roman" w:cs="Times New Roman"/>
          <w:sz w:val="24"/>
          <w:szCs w:val="24"/>
          <w:lang w:val="en-GB"/>
        </w:rPr>
        <w:t>.</w:t>
      </w:r>
    </w:p>
    <w:p w14:paraId="06A2A839" w14:textId="2B7DB0A2" w:rsidR="00356EB3" w:rsidRDefault="00356EB3" w:rsidP="006A2D5A">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356EB3">
        <w:rPr>
          <w:rFonts w:ascii="Times New Roman" w:hAnsi="Times New Roman" w:cs="Times New Roman"/>
          <w:sz w:val="24"/>
          <w:szCs w:val="24"/>
          <w:lang w:val="en-GB"/>
        </w:rPr>
        <w:t xml:space="preserve">The </w:t>
      </w:r>
      <w:r>
        <w:rPr>
          <w:rFonts w:ascii="Times New Roman" w:hAnsi="Times New Roman" w:cs="Times New Roman"/>
          <w:sz w:val="24"/>
          <w:szCs w:val="24"/>
          <w:lang w:val="en-GB"/>
        </w:rPr>
        <w:t>EHP</w:t>
      </w:r>
      <w:r w:rsidRPr="00356EB3">
        <w:rPr>
          <w:rFonts w:ascii="Times New Roman" w:hAnsi="Times New Roman" w:cs="Times New Roman"/>
          <w:sz w:val="24"/>
          <w:szCs w:val="24"/>
          <w:lang w:val="en-GB"/>
        </w:rPr>
        <w:t xml:space="preserve"> Partnerships, a new mechanism for the implementation of commitments, was launched during the Conference. The EHP Partnerships </w:t>
      </w:r>
      <w:r w:rsidR="006B7DD5">
        <w:rPr>
          <w:rFonts w:ascii="Times New Roman" w:hAnsi="Times New Roman" w:cs="Times New Roman"/>
          <w:sz w:val="24"/>
          <w:szCs w:val="24"/>
          <w:lang w:val="en-GB"/>
        </w:rPr>
        <w:t>open new opportunities for</w:t>
      </w:r>
      <w:r w:rsidRPr="00356EB3">
        <w:rPr>
          <w:rFonts w:ascii="Times New Roman" w:hAnsi="Times New Roman" w:cs="Times New Roman"/>
          <w:sz w:val="24"/>
          <w:szCs w:val="24"/>
          <w:lang w:val="en-GB"/>
        </w:rPr>
        <w:t xml:space="preserve"> countries and partners with a shared interest in a specific thematic area to work together on joint projects and activities.</w:t>
      </w:r>
    </w:p>
    <w:p w14:paraId="5EA5E2D4" w14:textId="4DBAC9C1" w:rsidR="0087327D" w:rsidRPr="00117882" w:rsidRDefault="003303DD" w:rsidP="006A2D5A">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117882">
        <w:rPr>
          <w:rFonts w:ascii="Times New Roman" w:hAnsi="Times New Roman" w:cs="Times New Roman"/>
          <w:sz w:val="24"/>
          <w:szCs w:val="24"/>
          <w:lang w:val="en-GB"/>
        </w:rPr>
        <w:t>The EHTF</w:t>
      </w:r>
      <w:r w:rsidR="00EE5BCA" w:rsidRPr="00117882">
        <w:rPr>
          <w:rFonts w:ascii="Times New Roman" w:hAnsi="Times New Roman" w:cs="Times New Roman"/>
          <w:sz w:val="24"/>
          <w:szCs w:val="24"/>
          <w:lang w:val="en-GB"/>
        </w:rPr>
        <w:t xml:space="preserve"> and its</w:t>
      </w:r>
      <w:r w:rsidRPr="00117882">
        <w:rPr>
          <w:rFonts w:ascii="Times New Roman" w:hAnsi="Times New Roman" w:cs="Times New Roman"/>
          <w:sz w:val="24"/>
          <w:szCs w:val="24"/>
          <w:lang w:val="en-GB"/>
        </w:rPr>
        <w:t xml:space="preserve"> Bureau play a </w:t>
      </w:r>
      <w:r w:rsidR="00606CC9" w:rsidRPr="00117882">
        <w:rPr>
          <w:rFonts w:ascii="Times New Roman" w:hAnsi="Times New Roman" w:cs="Times New Roman"/>
          <w:sz w:val="24"/>
          <w:szCs w:val="24"/>
          <w:lang w:val="en-GB"/>
        </w:rPr>
        <w:t xml:space="preserve">crucial </w:t>
      </w:r>
      <w:r w:rsidRPr="00117882">
        <w:rPr>
          <w:rFonts w:ascii="Times New Roman" w:hAnsi="Times New Roman" w:cs="Times New Roman"/>
          <w:sz w:val="24"/>
          <w:szCs w:val="24"/>
          <w:lang w:val="en-GB"/>
        </w:rPr>
        <w:t>role in translating these commitments into action, fostering a proactive approach to ensuring th</w:t>
      </w:r>
      <w:r w:rsidR="00A62A0C" w:rsidRPr="00117882">
        <w:rPr>
          <w:rFonts w:ascii="Times New Roman" w:hAnsi="Times New Roman" w:cs="Times New Roman"/>
          <w:sz w:val="24"/>
          <w:szCs w:val="24"/>
          <w:lang w:val="en-GB"/>
        </w:rPr>
        <w:t xml:space="preserve">e effective implementation of </w:t>
      </w:r>
      <w:r w:rsidR="00C44EB1" w:rsidRPr="00117882">
        <w:rPr>
          <w:rFonts w:ascii="Times New Roman" w:hAnsi="Times New Roman" w:cs="Times New Roman"/>
          <w:sz w:val="24"/>
          <w:szCs w:val="24"/>
          <w:lang w:val="en-GB"/>
        </w:rPr>
        <w:t xml:space="preserve">the </w:t>
      </w:r>
      <w:r w:rsidR="00A62A0C" w:rsidRPr="00117882">
        <w:rPr>
          <w:rFonts w:ascii="Times New Roman" w:hAnsi="Times New Roman" w:cs="Times New Roman"/>
          <w:sz w:val="24"/>
          <w:szCs w:val="24"/>
          <w:lang w:val="en-GB"/>
        </w:rPr>
        <w:t>Budapest commitments.</w:t>
      </w:r>
    </w:p>
    <w:p w14:paraId="5CFAFBE4" w14:textId="3C188BC5" w:rsidR="00763248" w:rsidRDefault="00820333" w:rsidP="37589110">
      <w:pPr>
        <w:pStyle w:val="Heading1"/>
        <w:rPr>
          <w:lang w:val="en-GB"/>
        </w:rPr>
      </w:pPr>
      <w:bookmarkStart w:id="3" w:name="_Toc164096695"/>
      <w:r w:rsidRPr="2BFC280C">
        <w:rPr>
          <w:lang w:val="en-GB"/>
        </w:rPr>
        <w:t xml:space="preserve">2. </w:t>
      </w:r>
      <w:r w:rsidR="00BD69E3" w:rsidRPr="2BFC280C">
        <w:rPr>
          <w:lang w:val="en-GB"/>
        </w:rPr>
        <w:t xml:space="preserve">Meetings </w:t>
      </w:r>
      <w:r w:rsidR="0087327D">
        <w:rPr>
          <w:lang w:val="en-GB"/>
        </w:rPr>
        <w:t xml:space="preserve">of the </w:t>
      </w:r>
      <w:r w:rsidR="006C066A" w:rsidRPr="2BFC280C">
        <w:rPr>
          <w:lang w:val="en-GB"/>
        </w:rPr>
        <w:t xml:space="preserve">EHTF </w:t>
      </w:r>
      <w:r w:rsidR="0087327D">
        <w:rPr>
          <w:lang w:val="en-GB"/>
        </w:rPr>
        <w:t>and related bodies</w:t>
      </w:r>
      <w:bookmarkEnd w:id="3"/>
    </w:p>
    <w:p w14:paraId="07579880" w14:textId="14923AE8" w:rsidR="00BA3FDB" w:rsidRPr="00BA3FDB" w:rsidRDefault="00BA3FDB" w:rsidP="004E0F88">
      <w:pPr>
        <w:pStyle w:val="Heading2"/>
        <w:rPr>
          <w:lang w:val="en-GB"/>
        </w:rPr>
      </w:pPr>
      <w:bookmarkStart w:id="4" w:name="_Toc164096696"/>
      <w:r w:rsidRPr="00BA3FDB">
        <w:rPr>
          <w:lang w:val="en-GB"/>
        </w:rPr>
        <w:t>2.1. Meetings of the EHTF and its Bureau</w:t>
      </w:r>
      <w:bookmarkEnd w:id="4"/>
    </w:p>
    <w:p w14:paraId="3798EA8E" w14:textId="64E96A49" w:rsidR="0087327D" w:rsidRDefault="00021081" w:rsidP="00A503E9">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bookmarkStart w:id="5" w:name="_Toc844264253"/>
      <w:r w:rsidRPr="51F8B297">
        <w:rPr>
          <w:rFonts w:ascii="Times New Roman" w:hAnsi="Times New Roman" w:cs="Times New Roman"/>
          <w:sz w:val="24"/>
          <w:szCs w:val="24"/>
          <w:lang w:val="en-GB"/>
        </w:rPr>
        <w:t xml:space="preserve">According to the </w:t>
      </w:r>
      <w:hyperlink r:id="rId14" w:history="1">
        <w:r w:rsidR="00277E56" w:rsidRPr="00991729">
          <w:rPr>
            <w:rStyle w:val="Hyperlink"/>
            <w:rFonts w:ascii="Times New Roman" w:hAnsi="Times New Roman" w:cs="Times New Roman"/>
            <w:sz w:val="24"/>
            <w:szCs w:val="24"/>
            <w:lang w:val="en-GB"/>
          </w:rPr>
          <w:t>EHTF Rules of Procedures</w:t>
        </w:r>
      </w:hyperlink>
      <w:r w:rsidR="008E75CD" w:rsidRPr="51F8B297">
        <w:rPr>
          <w:rFonts w:ascii="Times New Roman" w:hAnsi="Times New Roman" w:cs="Times New Roman"/>
          <w:sz w:val="24"/>
          <w:szCs w:val="24"/>
          <w:lang w:val="en-GB"/>
        </w:rPr>
        <w:t xml:space="preserve"> the EHTF meet</w:t>
      </w:r>
      <w:r w:rsidR="000E1CF3" w:rsidRPr="51F8B297">
        <w:rPr>
          <w:rFonts w:ascii="Times New Roman" w:hAnsi="Times New Roman" w:cs="Times New Roman"/>
          <w:sz w:val="24"/>
          <w:szCs w:val="24"/>
          <w:lang w:val="en-GB"/>
        </w:rPr>
        <w:t>s</w:t>
      </w:r>
      <w:r w:rsidR="008E75CD" w:rsidRPr="51F8B297">
        <w:rPr>
          <w:rFonts w:ascii="Times New Roman" w:hAnsi="Times New Roman" w:cs="Times New Roman"/>
          <w:sz w:val="24"/>
          <w:szCs w:val="24"/>
          <w:lang w:val="en-GB"/>
        </w:rPr>
        <w:t xml:space="preserve"> at least </w:t>
      </w:r>
      <w:r w:rsidR="000E1CF3" w:rsidRPr="51F8B297">
        <w:rPr>
          <w:rFonts w:ascii="Times New Roman" w:hAnsi="Times New Roman" w:cs="Times New Roman"/>
          <w:sz w:val="24"/>
          <w:szCs w:val="24"/>
          <w:lang w:val="en-GB"/>
        </w:rPr>
        <w:t>once a year.</w:t>
      </w:r>
      <w:r w:rsidR="00277E56" w:rsidRPr="51F8B297">
        <w:rPr>
          <w:rFonts w:ascii="Times New Roman" w:hAnsi="Times New Roman" w:cs="Times New Roman"/>
          <w:sz w:val="24"/>
          <w:szCs w:val="24"/>
          <w:lang w:val="en-GB"/>
        </w:rPr>
        <w:t xml:space="preserve"> </w:t>
      </w:r>
      <w:r w:rsidR="00A54E09" w:rsidRPr="51F8B297">
        <w:rPr>
          <w:rFonts w:ascii="Times New Roman" w:hAnsi="Times New Roman" w:cs="Times New Roman"/>
          <w:sz w:val="24"/>
          <w:szCs w:val="24"/>
          <w:lang w:val="en-GB"/>
        </w:rPr>
        <w:t>The 14</w:t>
      </w:r>
      <w:r w:rsidR="00A54E09" w:rsidRPr="51F8B297">
        <w:rPr>
          <w:rFonts w:ascii="Times New Roman" w:hAnsi="Times New Roman" w:cs="Times New Roman"/>
          <w:sz w:val="24"/>
          <w:szCs w:val="24"/>
          <w:vertAlign w:val="superscript"/>
          <w:lang w:val="en-GB"/>
        </w:rPr>
        <w:t>th</w:t>
      </w:r>
      <w:r w:rsidR="00A54E09" w:rsidRPr="51F8B297">
        <w:rPr>
          <w:rFonts w:ascii="Times New Roman" w:hAnsi="Times New Roman" w:cs="Times New Roman"/>
          <w:sz w:val="24"/>
          <w:szCs w:val="24"/>
          <w:lang w:val="en-GB"/>
        </w:rPr>
        <w:t xml:space="preserve"> and 15</w:t>
      </w:r>
      <w:r w:rsidR="00A54E09" w:rsidRPr="51F8B297">
        <w:rPr>
          <w:rFonts w:ascii="Times New Roman" w:hAnsi="Times New Roman" w:cs="Times New Roman"/>
          <w:sz w:val="24"/>
          <w:szCs w:val="24"/>
          <w:vertAlign w:val="superscript"/>
          <w:lang w:val="en-GB"/>
        </w:rPr>
        <w:t>th</w:t>
      </w:r>
      <w:r w:rsidR="00A54E09" w:rsidRPr="51F8B297">
        <w:rPr>
          <w:rFonts w:ascii="Times New Roman" w:hAnsi="Times New Roman" w:cs="Times New Roman"/>
          <w:sz w:val="24"/>
          <w:szCs w:val="24"/>
          <w:lang w:val="en-GB"/>
        </w:rPr>
        <w:t xml:space="preserve"> annual meetings of the EHTF </w:t>
      </w:r>
      <w:r w:rsidR="00A64911" w:rsidRPr="51F8B297">
        <w:rPr>
          <w:rFonts w:ascii="Times New Roman" w:hAnsi="Times New Roman" w:cs="Times New Roman"/>
          <w:sz w:val="24"/>
          <w:szCs w:val="24"/>
          <w:lang w:val="en-GB"/>
        </w:rPr>
        <w:t>are</w:t>
      </w:r>
      <w:r w:rsidR="00A54E09" w:rsidRPr="51F8B297">
        <w:rPr>
          <w:rFonts w:ascii="Times New Roman" w:hAnsi="Times New Roman" w:cs="Times New Roman"/>
          <w:sz w:val="24"/>
          <w:szCs w:val="24"/>
          <w:lang w:val="en-GB"/>
        </w:rPr>
        <w:t xml:space="preserve"> planned for the first half of 2024</w:t>
      </w:r>
      <w:r w:rsidR="00356EB3">
        <w:rPr>
          <w:rStyle w:val="FootnoteReference"/>
          <w:rFonts w:ascii="Times New Roman" w:hAnsi="Times New Roman" w:cs="Times New Roman"/>
          <w:sz w:val="24"/>
          <w:szCs w:val="24"/>
          <w:lang w:val="en-GB"/>
        </w:rPr>
        <w:footnoteReference w:id="10"/>
      </w:r>
      <w:r w:rsidR="00A54E09" w:rsidRPr="51F8B297">
        <w:rPr>
          <w:rFonts w:ascii="Times New Roman" w:hAnsi="Times New Roman" w:cs="Times New Roman"/>
          <w:sz w:val="24"/>
          <w:szCs w:val="24"/>
          <w:lang w:val="en-GB"/>
        </w:rPr>
        <w:t xml:space="preserve"> and the first half </w:t>
      </w:r>
      <w:r w:rsidR="00A54E09" w:rsidRPr="51F8B297">
        <w:rPr>
          <w:rFonts w:ascii="Times New Roman" w:hAnsi="Times New Roman" w:cs="Times New Roman"/>
          <w:sz w:val="24"/>
          <w:szCs w:val="24"/>
          <w:lang w:val="en-GB"/>
        </w:rPr>
        <w:lastRenderedPageBreak/>
        <w:t>of 2025</w:t>
      </w:r>
      <w:r w:rsidR="00A64911" w:rsidRPr="51F8B297">
        <w:rPr>
          <w:rFonts w:ascii="Times New Roman" w:hAnsi="Times New Roman" w:cs="Times New Roman"/>
          <w:sz w:val="24"/>
          <w:szCs w:val="24"/>
          <w:lang w:val="en-GB"/>
        </w:rPr>
        <w:t>,</w:t>
      </w:r>
      <w:r w:rsidR="00A54E09" w:rsidRPr="51F8B297">
        <w:rPr>
          <w:rFonts w:ascii="Times New Roman" w:hAnsi="Times New Roman" w:cs="Times New Roman"/>
          <w:sz w:val="24"/>
          <w:szCs w:val="24"/>
          <w:lang w:val="en-GB"/>
        </w:rPr>
        <w:t xml:space="preserve"> respectively</w:t>
      </w:r>
      <w:r w:rsidR="00D27933" w:rsidRPr="51F8B297">
        <w:rPr>
          <w:rFonts w:ascii="Times New Roman" w:hAnsi="Times New Roman" w:cs="Times New Roman"/>
          <w:sz w:val="24"/>
          <w:szCs w:val="24"/>
          <w:lang w:val="en-GB"/>
        </w:rPr>
        <w:t>. Th</w:t>
      </w:r>
      <w:r w:rsidR="001B7F39" w:rsidRPr="51F8B297">
        <w:rPr>
          <w:rFonts w:ascii="Times New Roman" w:hAnsi="Times New Roman" w:cs="Times New Roman"/>
          <w:sz w:val="24"/>
          <w:szCs w:val="24"/>
          <w:lang w:val="en-GB"/>
        </w:rPr>
        <w:t xml:space="preserve">e meetings will be prepared by the EHTF Bureau, </w:t>
      </w:r>
      <w:r w:rsidR="008B51A5">
        <w:rPr>
          <w:rFonts w:ascii="Times New Roman" w:hAnsi="Times New Roman" w:cs="Times New Roman"/>
          <w:sz w:val="24"/>
          <w:szCs w:val="24"/>
          <w:lang w:val="en-GB"/>
        </w:rPr>
        <w:t>which</w:t>
      </w:r>
      <w:r w:rsidR="001B7F39" w:rsidRPr="51F8B297">
        <w:rPr>
          <w:rFonts w:ascii="Times New Roman" w:hAnsi="Times New Roman" w:cs="Times New Roman"/>
          <w:sz w:val="24"/>
          <w:szCs w:val="24"/>
          <w:lang w:val="en-GB"/>
        </w:rPr>
        <w:t xml:space="preserve"> will meet </w:t>
      </w:r>
      <w:r w:rsidR="00D93592" w:rsidRPr="00D93592">
        <w:rPr>
          <w:rFonts w:ascii="Times New Roman" w:hAnsi="Times New Roman" w:cs="Times New Roman"/>
          <w:sz w:val="24"/>
          <w:szCs w:val="24"/>
          <w:lang w:val="en-GB"/>
        </w:rPr>
        <w:t>twice a year, primarily online</w:t>
      </w:r>
      <w:r w:rsidR="00A53F4D" w:rsidRPr="51F8B297">
        <w:rPr>
          <w:rFonts w:ascii="Times New Roman" w:hAnsi="Times New Roman" w:cs="Times New Roman"/>
          <w:sz w:val="24"/>
          <w:szCs w:val="24"/>
          <w:lang w:val="en-GB"/>
        </w:rPr>
        <w:t>.</w:t>
      </w:r>
      <w:r w:rsidR="00A54E09" w:rsidRPr="51F8B297">
        <w:rPr>
          <w:rFonts w:ascii="Times New Roman" w:hAnsi="Times New Roman" w:cs="Times New Roman"/>
          <w:sz w:val="24"/>
          <w:szCs w:val="24"/>
          <w:lang w:val="en-GB"/>
        </w:rPr>
        <w:t xml:space="preserve"> </w:t>
      </w:r>
      <w:r w:rsidR="00733CC0" w:rsidRPr="51F8B297">
        <w:rPr>
          <w:rFonts w:ascii="Times New Roman" w:hAnsi="Times New Roman" w:cs="Times New Roman"/>
          <w:sz w:val="24"/>
          <w:szCs w:val="24"/>
          <w:lang w:val="en-GB"/>
        </w:rPr>
        <w:t>If needed, a</w:t>
      </w:r>
      <w:r w:rsidR="00A54E09" w:rsidRPr="51F8B297">
        <w:rPr>
          <w:rFonts w:ascii="Times New Roman" w:hAnsi="Times New Roman" w:cs="Times New Roman"/>
          <w:sz w:val="24"/>
          <w:szCs w:val="24"/>
          <w:lang w:val="en-GB"/>
        </w:rPr>
        <w:t xml:space="preserve">dditional meetings </w:t>
      </w:r>
      <w:r w:rsidR="00A53F4D" w:rsidRPr="51F8B297">
        <w:rPr>
          <w:rFonts w:ascii="Times New Roman" w:hAnsi="Times New Roman" w:cs="Times New Roman"/>
          <w:sz w:val="24"/>
          <w:szCs w:val="24"/>
          <w:lang w:val="en-GB"/>
        </w:rPr>
        <w:t>of the EHTF</w:t>
      </w:r>
      <w:r w:rsidR="00A54E09" w:rsidRPr="51F8B297">
        <w:rPr>
          <w:rFonts w:ascii="Times New Roman" w:hAnsi="Times New Roman" w:cs="Times New Roman"/>
          <w:sz w:val="24"/>
          <w:szCs w:val="24"/>
          <w:lang w:val="en-GB"/>
        </w:rPr>
        <w:t xml:space="preserve"> could be </w:t>
      </w:r>
      <w:r w:rsidR="00733CC0" w:rsidRPr="51F8B297">
        <w:rPr>
          <w:rFonts w:ascii="Times New Roman" w:hAnsi="Times New Roman" w:cs="Times New Roman"/>
          <w:sz w:val="24"/>
          <w:szCs w:val="24"/>
          <w:lang w:val="en-GB"/>
        </w:rPr>
        <w:t>organized, possibly online</w:t>
      </w:r>
      <w:r w:rsidR="00A54E09" w:rsidRPr="51F8B297">
        <w:rPr>
          <w:rFonts w:ascii="Times New Roman" w:hAnsi="Times New Roman" w:cs="Times New Roman"/>
          <w:sz w:val="24"/>
          <w:szCs w:val="24"/>
          <w:lang w:val="en-GB"/>
        </w:rPr>
        <w:t>.</w:t>
      </w:r>
    </w:p>
    <w:p w14:paraId="5975F0F5" w14:textId="50BD8A54" w:rsidR="007F4B6C" w:rsidRDefault="007F4B6C" w:rsidP="00A503E9">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The Bureau </w:t>
      </w:r>
      <w:r w:rsidR="00733CC0" w:rsidRPr="51F8B297">
        <w:rPr>
          <w:rFonts w:ascii="Times New Roman" w:hAnsi="Times New Roman" w:cs="Times New Roman"/>
          <w:sz w:val="24"/>
          <w:szCs w:val="24"/>
          <w:lang w:val="en-GB"/>
        </w:rPr>
        <w:t xml:space="preserve">may also wish to </w:t>
      </w:r>
      <w:r w:rsidR="003B0C1A" w:rsidRPr="51F8B297">
        <w:rPr>
          <w:rFonts w:ascii="Times New Roman" w:hAnsi="Times New Roman" w:cs="Times New Roman"/>
          <w:sz w:val="24"/>
          <w:szCs w:val="24"/>
          <w:lang w:val="en-GB"/>
        </w:rPr>
        <w:t xml:space="preserve">have </w:t>
      </w:r>
      <w:r w:rsidRPr="51F8B297">
        <w:rPr>
          <w:rFonts w:ascii="Times New Roman" w:hAnsi="Times New Roman" w:cs="Times New Roman"/>
          <w:sz w:val="24"/>
          <w:szCs w:val="24"/>
          <w:lang w:val="en-GB"/>
        </w:rPr>
        <w:t>further informal consultations</w:t>
      </w:r>
      <w:r w:rsidR="00DF0765">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 xml:space="preserve">between </w:t>
      </w:r>
      <w:r w:rsidR="003B0C1A" w:rsidRPr="51F8B297">
        <w:rPr>
          <w:rFonts w:ascii="Times New Roman" w:hAnsi="Times New Roman" w:cs="Times New Roman"/>
          <w:sz w:val="24"/>
          <w:szCs w:val="24"/>
          <w:lang w:val="en-GB"/>
        </w:rPr>
        <w:t xml:space="preserve">the regular </w:t>
      </w:r>
      <w:r w:rsidRPr="51F8B297">
        <w:rPr>
          <w:rFonts w:ascii="Times New Roman" w:hAnsi="Times New Roman" w:cs="Times New Roman"/>
          <w:sz w:val="24"/>
          <w:szCs w:val="24"/>
          <w:lang w:val="en-GB"/>
        </w:rPr>
        <w:t>meetings of the EHTF.</w:t>
      </w:r>
    </w:p>
    <w:p w14:paraId="7B0418FF" w14:textId="39B0EC4B" w:rsidR="00CF30F0" w:rsidRDefault="00CF30F0" w:rsidP="00A503E9">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To maximize transparency and inclusion, a</w:t>
      </w:r>
      <w:r w:rsidR="007F4B6C" w:rsidRPr="51F8B297">
        <w:rPr>
          <w:rFonts w:ascii="Times New Roman" w:hAnsi="Times New Roman" w:cs="Times New Roman"/>
          <w:sz w:val="24"/>
          <w:szCs w:val="24"/>
          <w:lang w:val="en-GB"/>
        </w:rPr>
        <w:t xml:space="preserve">ll meetings of the Bureau, both formal and informal ones, should allow the participation of </w:t>
      </w:r>
      <w:r w:rsidRPr="51F8B297">
        <w:rPr>
          <w:rFonts w:ascii="Times New Roman" w:hAnsi="Times New Roman" w:cs="Times New Roman"/>
          <w:sz w:val="24"/>
          <w:szCs w:val="24"/>
          <w:lang w:val="en-GB"/>
        </w:rPr>
        <w:t>any other EHTF member as observer.</w:t>
      </w:r>
    </w:p>
    <w:p w14:paraId="533FF262" w14:textId="2486C8B1" w:rsidR="00A503E9" w:rsidRDefault="00A54E09" w:rsidP="00A503E9">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A proposal for the organization of </w:t>
      </w:r>
      <w:r w:rsidR="00E75403" w:rsidRPr="51F8B297">
        <w:rPr>
          <w:rFonts w:ascii="Times New Roman" w:hAnsi="Times New Roman" w:cs="Times New Roman"/>
          <w:sz w:val="24"/>
          <w:szCs w:val="24"/>
          <w:lang w:val="en-GB"/>
        </w:rPr>
        <w:t xml:space="preserve">the </w:t>
      </w:r>
      <w:r w:rsidRPr="51F8B297">
        <w:rPr>
          <w:rFonts w:ascii="Times New Roman" w:hAnsi="Times New Roman" w:cs="Times New Roman"/>
          <w:sz w:val="24"/>
          <w:szCs w:val="24"/>
          <w:lang w:val="en-GB"/>
        </w:rPr>
        <w:t xml:space="preserve">meetings is provided in Table </w:t>
      </w:r>
      <w:r w:rsidR="00FD5D5E" w:rsidRPr="51F8B297">
        <w:rPr>
          <w:rFonts w:ascii="Times New Roman" w:hAnsi="Times New Roman" w:cs="Times New Roman"/>
          <w:sz w:val="24"/>
          <w:szCs w:val="24"/>
          <w:lang w:val="en-GB"/>
        </w:rPr>
        <w:t>1</w:t>
      </w:r>
      <w:r w:rsidRPr="51F8B297">
        <w:rPr>
          <w:rFonts w:ascii="Times New Roman" w:hAnsi="Times New Roman" w:cs="Times New Roman"/>
          <w:sz w:val="24"/>
          <w:szCs w:val="24"/>
          <w:lang w:val="en-GB"/>
        </w:rPr>
        <w:t>.</w:t>
      </w:r>
    </w:p>
    <w:p w14:paraId="5ECF783A" w14:textId="767BA47F" w:rsidR="00221BA7" w:rsidRDefault="00221BA7" w:rsidP="00221BA7">
      <w:pPr>
        <w:pStyle w:val="ListParagraph"/>
        <w:spacing w:before="120" w:after="120" w:line="259" w:lineRule="auto"/>
        <w:ind w:left="6"/>
        <w:textAlignment w:val="baseline"/>
        <w:rPr>
          <w:rFonts w:ascii="Times New Roman" w:eastAsia="Times New Roman" w:hAnsi="Times New Roman" w:cs="Times New Roman"/>
          <w:b/>
          <w:bCs/>
          <w:i/>
          <w:iCs/>
          <w:color w:val="2F5496" w:themeColor="accent5" w:themeShade="BF"/>
          <w:sz w:val="22"/>
          <w:szCs w:val="22"/>
          <w:lang w:val="en-GB"/>
        </w:rPr>
      </w:pPr>
      <w:r w:rsidRPr="00221BA7">
        <w:rPr>
          <w:rFonts w:ascii="Times New Roman" w:eastAsia="Times New Roman" w:hAnsi="Times New Roman" w:cs="Times New Roman"/>
          <w:b/>
          <w:bCs/>
          <w:i/>
          <w:iCs/>
          <w:color w:val="2F5496" w:themeColor="accent5" w:themeShade="BF"/>
          <w:sz w:val="22"/>
          <w:szCs w:val="22"/>
          <w:lang w:val="en-GB"/>
        </w:rPr>
        <w:t xml:space="preserve">Table </w:t>
      </w:r>
      <w:r w:rsidR="00FD5D5E">
        <w:rPr>
          <w:rFonts w:ascii="Times New Roman" w:eastAsia="Times New Roman" w:hAnsi="Times New Roman" w:cs="Times New Roman"/>
          <w:b/>
          <w:bCs/>
          <w:i/>
          <w:iCs/>
          <w:color w:val="2F5496" w:themeColor="accent5" w:themeShade="BF"/>
          <w:sz w:val="22"/>
          <w:szCs w:val="22"/>
          <w:lang w:val="en-GB"/>
        </w:rPr>
        <w:t>1</w:t>
      </w:r>
      <w:r w:rsidRPr="00221BA7">
        <w:rPr>
          <w:rFonts w:ascii="Times New Roman" w:eastAsia="Times New Roman" w:hAnsi="Times New Roman" w:cs="Times New Roman"/>
          <w:b/>
          <w:bCs/>
          <w:i/>
          <w:iCs/>
          <w:color w:val="2F5496" w:themeColor="accent5" w:themeShade="BF"/>
          <w:sz w:val="22"/>
          <w:szCs w:val="22"/>
          <w:lang w:val="en-GB"/>
        </w:rPr>
        <w:t xml:space="preserve">. </w:t>
      </w:r>
      <w:r w:rsidR="00CB1951">
        <w:rPr>
          <w:rFonts w:ascii="Times New Roman" w:eastAsia="Times New Roman" w:hAnsi="Times New Roman" w:cs="Times New Roman"/>
          <w:b/>
          <w:bCs/>
          <w:i/>
          <w:iCs/>
          <w:color w:val="2F5496" w:themeColor="accent5" w:themeShade="BF"/>
          <w:sz w:val="22"/>
          <w:szCs w:val="22"/>
          <w:lang w:val="en-GB"/>
        </w:rPr>
        <w:t>Pro</w:t>
      </w:r>
      <w:r w:rsidR="008914EC">
        <w:rPr>
          <w:rFonts w:ascii="Times New Roman" w:eastAsia="Times New Roman" w:hAnsi="Times New Roman" w:cs="Times New Roman"/>
          <w:b/>
          <w:bCs/>
          <w:i/>
          <w:iCs/>
          <w:color w:val="2F5496" w:themeColor="accent5" w:themeShade="BF"/>
          <w:sz w:val="22"/>
          <w:szCs w:val="22"/>
          <w:lang w:val="en-GB"/>
        </w:rPr>
        <w:t>posal for the organisation of t</w:t>
      </w:r>
      <w:r w:rsidR="00076C79">
        <w:rPr>
          <w:rFonts w:ascii="Times New Roman" w:eastAsia="Times New Roman" w:hAnsi="Times New Roman" w:cs="Times New Roman"/>
          <w:b/>
          <w:bCs/>
          <w:i/>
          <w:iCs/>
          <w:color w:val="2F5496" w:themeColor="accent5" w:themeShade="BF"/>
          <w:sz w:val="22"/>
          <w:szCs w:val="22"/>
          <w:lang w:val="en-GB"/>
        </w:rPr>
        <w:t>h</w:t>
      </w:r>
      <w:r w:rsidR="008914EC">
        <w:rPr>
          <w:rFonts w:ascii="Times New Roman" w:eastAsia="Times New Roman" w:hAnsi="Times New Roman" w:cs="Times New Roman"/>
          <w:b/>
          <w:bCs/>
          <w:i/>
          <w:iCs/>
          <w:color w:val="2F5496" w:themeColor="accent5" w:themeShade="BF"/>
          <w:sz w:val="22"/>
          <w:szCs w:val="22"/>
          <w:lang w:val="en-GB"/>
        </w:rPr>
        <w:t xml:space="preserve">e EHTF and EHTF </w:t>
      </w:r>
      <w:r w:rsidR="00076C79">
        <w:rPr>
          <w:rFonts w:ascii="Times New Roman" w:eastAsia="Times New Roman" w:hAnsi="Times New Roman" w:cs="Times New Roman"/>
          <w:b/>
          <w:bCs/>
          <w:i/>
          <w:iCs/>
          <w:color w:val="2F5496" w:themeColor="accent5" w:themeShade="BF"/>
          <w:sz w:val="22"/>
          <w:szCs w:val="22"/>
          <w:lang w:val="en-GB"/>
        </w:rPr>
        <w:t>Bureau</w:t>
      </w:r>
      <w:r w:rsidR="008914EC">
        <w:rPr>
          <w:rFonts w:ascii="Times New Roman" w:eastAsia="Times New Roman" w:hAnsi="Times New Roman" w:cs="Times New Roman"/>
          <w:b/>
          <w:bCs/>
          <w:i/>
          <w:iCs/>
          <w:color w:val="2F5496" w:themeColor="accent5" w:themeShade="BF"/>
          <w:sz w:val="22"/>
          <w:szCs w:val="22"/>
          <w:lang w:val="en-GB"/>
        </w:rPr>
        <w:t xml:space="preserve"> meetings</w:t>
      </w:r>
    </w:p>
    <w:tbl>
      <w:tblPr>
        <w:tblStyle w:val="TableGrid"/>
        <w:tblW w:w="9330" w:type="dxa"/>
        <w:tblLook w:val="04A0" w:firstRow="1" w:lastRow="0" w:firstColumn="1" w:lastColumn="0" w:noHBand="0" w:noVBand="1"/>
      </w:tblPr>
      <w:tblGrid>
        <w:gridCol w:w="1635"/>
        <w:gridCol w:w="7695"/>
      </w:tblGrid>
      <w:tr w:rsidR="00787719" w:rsidRPr="006C40FF" w14:paraId="45F353AC" w14:textId="77777777" w:rsidTr="004E0F88">
        <w:trPr>
          <w:trHeight w:val="300"/>
        </w:trPr>
        <w:tc>
          <w:tcPr>
            <w:tcW w:w="1635" w:type="dxa"/>
            <w:shd w:val="clear" w:color="auto" w:fill="DEEAF6" w:themeFill="accent1" w:themeFillTint="33"/>
            <w:hideMark/>
          </w:tcPr>
          <w:p w14:paraId="2432116A" w14:textId="0B8EBEC5" w:rsidR="00787719" w:rsidRPr="006C40FF" w:rsidRDefault="00787719">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Objective</w:t>
            </w:r>
            <w:r w:rsidR="00DC61CA">
              <w:rPr>
                <w:rFonts w:ascii="Times New Roman" w:eastAsia="Times New Roman" w:hAnsi="Times New Roman" w:cs="Times New Roman"/>
                <w:b/>
                <w:bCs/>
                <w:sz w:val="22"/>
                <w:szCs w:val="22"/>
              </w:rPr>
              <w:t>s</w:t>
            </w:r>
          </w:p>
        </w:tc>
        <w:tc>
          <w:tcPr>
            <w:tcW w:w="7695" w:type="dxa"/>
          </w:tcPr>
          <w:p w14:paraId="78E357FC" w14:textId="60C98273" w:rsidR="00A46523" w:rsidRPr="005D0853" w:rsidRDefault="000E7761" w:rsidP="00A46523">
            <w:pPr>
              <w:spacing w:before="80" w:after="80" w:line="259" w:lineRule="auto"/>
              <w:jc w:val="both"/>
              <w:textAlignment w:val="baseline"/>
              <w:rPr>
                <w:rFonts w:ascii="Times New Roman" w:eastAsia="Times New Roman" w:hAnsi="Times New Roman" w:cs="Times New Roman"/>
                <w:sz w:val="22"/>
                <w:szCs w:val="22"/>
              </w:rPr>
            </w:pPr>
            <w:r w:rsidRPr="005D0853">
              <w:rPr>
                <w:rFonts w:ascii="Times New Roman" w:eastAsia="Times New Roman" w:hAnsi="Times New Roman" w:cs="Times New Roman"/>
                <w:sz w:val="22"/>
                <w:szCs w:val="22"/>
              </w:rPr>
              <w:t xml:space="preserve">The </w:t>
            </w:r>
            <w:r w:rsidR="00257E15" w:rsidRPr="005D0853">
              <w:rPr>
                <w:rFonts w:ascii="Times New Roman" w:eastAsia="Times New Roman" w:hAnsi="Times New Roman" w:cs="Times New Roman"/>
                <w:sz w:val="22"/>
                <w:szCs w:val="22"/>
              </w:rPr>
              <w:t xml:space="preserve">main </w:t>
            </w:r>
            <w:r w:rsidRPr="005D0853">
              <w:rPr>
                <w:rFonts w:ascii="Times New Roman" w:eastAsia="Times New Roman" w:hAnsi="Times New Roman" w:cs="Times New Roman"/>
                <w:sz w:val="22"/>
                <w:szCs w:val="22"/>
              </w:rPr>
              <w:t xml:space="preserve">objectives of the EHTF and its Bureau are </w:t>
            </w:r>
            <w:r w:rsidR="000F3D87">
              <w:rPr>
                <w:rFonts w:ascii="Times New Roman" w:eastAsia="Times New Roman" w:hAnsi="Times New Roman" w:cs="Times New Roman"/>
                <w:sz w:val="22"/>
                <w:szCs w:val="22"/>
              </w:rPr>
              <w:t xml:space="preserve">to </w:t>
            </w:r>
            <w:r w:rsidR="00740AF3" w:rsidRPr="005D0853">
              <w:rPr>
                <w:rFonts w:ascii="Times New Roman" w:eastAsia="Times New Roman" w:hAnsi="Times New Roman" w:cs="Times New Roman"/>
                <w:sz w:val="22"/>
                <w:szCs w:val="22"/>
              </w:rPr>
              <w:t>steer and support the implementation of the commitments</w:t>
            </w:r>
            <w:r w:rsidR="00C5502B" w:rsidRPr="005D0853">
              <w:rPr>
                <w:rFonts w:ascii="Times New Roman" w:eastAsia="Times New Roman" w:hAnsi="Times New Roman" w:cs="Times New Roman"/>
                <w:sz w:val="22"/>
                <w:szCs w:val="22"/>
              </w:rPr>
              <w:t xml:space="preserve"> </w:t>
            </w:r>
            <w:r w:rsidR="002B07FB" w:rsidRPr="005D0853">
              <w:rPr>
                <w:rFonts w:ascii="Times New Roman" w:eastAsia="Times New Roman" w:hAnsi="Times New Roman" w:cs="Times New Roman"/>
                <w:sz w:val="22"/>
                <w:szCs w:val="22"/>
              </w:rPr>
              <w:t>through</w:t>
            </w:r>
            <w:r w:rsidR="00A46523" w:rsidRPr="005D0853">
              <w:rPr>
                <w:rFonts w:ascii="Times New Roman" w:eastAsia="Times New Roman" w:hAnsi="Times New Roman" w:cs="Times New Roman"/>
                <w:sz w:val="22"/>
                <w:szCs w:val="22"/>
              </w:rPr>
              <w:t>:</w:t>
            </w:r>
          </w:p>
          <w:p w14:paraId="7F7EAA34" w14:textId="77777777"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 xml:space="preserve">facilitating collaboration among sectors, partners and </w:t>
            </w:r>
            <w:proofErr w:type="gramStart"/>
            <w:r w:rsidRPr="0049667F">
              <w:rPr>
                <w:rFonts w:ascii="Times New Roman" w:eastAsia="Times New Roman" w:hAnsi="Times New Roman" w:cs="Times New Roman"/>
                <w:sz w:val="22"/>
                <w:szCs w:val="22"/>
              </w:rPr>
              <w:t>stakeholders;</w:t>
            </w:r>
            <w:proofErr w:type="gramEnd"/>
          </w:p>
          <w:p w14:paraId="39549A6E" w14:textId="712131E2"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 xml:space="preserve">providing fora for the exchange of technical expertise and </w:t>
            </w:r>
            <w:proofErr w:type="gramStart"/>
            <w:r w:rsidRPr="0049667F">
              <w:rPr>
                <w:rFonts w:ascii="Times New Roman" w:eastAsia="Times New Roman" w:hAnsi="Times New Roman" w:cs="Times New Roman"/>
                <w:sz w:val="22"/>
                <w:szCs w:val="22"/>
              </w:rPr>
              <w:t>knowledge;</w:t>
            </w:r>
            <w:proofErr w:type="gramEnd"/>
          </w:p>
          <w:p w14:paraId="7DB54C71" w14:textId="679E408B"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 xml:space="preserve">taking account of scientific evidence in the review of </w:t>
            </w:r>
            <w:proofErr w:type="gramStart"/>
            <w:r w:rsidRPr="0049667F">
              <w:rPr>
                <w:rFonts w:ascii="Times New Roman" w:eastAsia="Times New Roman" w:hAnsi="Times New Roman" w:cs="Times New Roman"/>
                <w:sz w:val="22"/>
                <w:szCs w:val="22"/>
              </w:rPr>
              <w:t>policies;</w:t>
            </w:r>
            <w:proofErr w:type="gramEnd"/>
          </w:p>
          <w:p w14:paraId="272CEB0E" w14:textId="621F96F3"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promoting collaboration with the governing bodies and secretariats of relevant</w:t>
            </w:r>
            <w:r>
              <w:rPr>
                <w:rFonts w:ascii="Times New Roman" w:eastAsia="Times New Roman" w:hAnsi="Times New Roman" w:cs="Times New Roman"/>
                <w:sz w:val="22"/>
                <w:szCs w:val="22"/>
              </w:rPr>
              <w:t xml:space="preserve"> </w:t>
            </w:r>
            <w:r w:rsidRPr="0049667F">
              <w:rPr>
                <w:rFonts w:ascii="Times New Roman" w:eastAsia="Times New Roman" w:hAnsi="Times New Roman" w:cs="Times New Roman"/>
                <w:sz w:val="22"/>
                <w:szCs w:val="22"/>
              </w:rPr>
              <w:t xml:space="preserve">multilateral environment and health agreements and policy </w:t>
            </w:r>
            <w:proofErr w:type="gramStart"/>
            <w:r w:rsidRPr="0049667F">
              <w:rPr>
                <w:rFonts w:ascii="Times New Roman" w:eastAsia="Times New Roman" w:hAnsi="Times New Roman" w:cs="Times New Roman"/>
                <w:sz w:val="22"/>
                <w:szCs w:val="22"/>
              </w:rPr>
              <w:t>platforms;</w:t>
            </w:r>
            <w:proofErr w:type="gramEnd"/>
          </w:p>
          <w:p w14:paraId="644B90F0" w14:textId="750CD9CF" w:rsidR="0049667F" w:rsidRPr="0093240D" w:rsidRDefault="0049667F" w:rsidP="0093240D">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93240D">
              <w:rPr>
                <w:rFonts w:ascii="Times New Roman" w:eastAsia="Times New Roman" w:hAnsi="Times New Roman" w:cs="Times New Roman"/>
                <w:sz w:val="22"/>
                <w:szCs w:val="22"/>
              </w:rPr>
              <w:t>taking account of emerging environment and health issues, and advising on policy</w:t>
            </w:r>
            <w:r w:rsidR="0093240D">
              <w:rPr>
                <w:rFonts w:ascii="Times New Roman" w:eastAsia="Times New Roman" w:hAnsi="Times New Roman" w:cs="Times New Roman"/>
                <w:sz w:val="22"/>
                <w:szCs w:val="22"/>
              </w:rPr>
              <w:t xml:space="preserve"> </w:t>
            </w:r>
            <w:r w:rsidRPr="0093240D">
              <w:rPr>
                <w:rFonts w:ascii="Times New Roman" w:eastAsia="Times New Roman" w:hAnsi="Times New Roman" w:cs="Times New Roman"/>
                <w:sz w:val="22"/>
                <w:szCs w:val="22"/>
              </w:rPr>
              <w:t xml:space="preserve">directions to be taken to address </w:t>
            </w:r>
            <w:proofErr w:type="gramStart"/>
            <w:r w:rsidRPr="0093240D">
              <w:rPr>
                <w:rFonts w:ascii="Times New Roman" w:eastAsia="Times New Roman" w:hAnsi="Times New Roman" w:cs="Times New Roman"/>
                <w:sz w:val="22"/>
                <w:szCs w:val="22"/>
              </w:rPr>
              <w:t>them;</w:t>
            </w:r>
            <w:proofErr w:type="gramEnd"/>
          </w:p>
          <w:p w14:paraId="42042DFE" w14:textId="1F162460"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 xml:space="preserve">identifying financial resources for </w:t>
            </w:r>
            <w:proofErr w:type="gramStart"/>
            <w:r w:rsidRPr="0049667F">
              <w:rPr>
                <w:rFonts w:ascii="Times New Roman" w:eastAsia="Times New Roman" w:hAnsi="Times New Roman" w:cs="Times New Roman"/>
                <w:sz w:val="22"/>
                <w:szCs w:val="22"/>
              </w:rPr>
              <w:t>implementation;</w:t>
            </w:r>
            <w:proofErr w:type="gramEnd"/>
          </w:p>
          <w:p w14:paraId="3565304E" w14:textId="18F61EA4" w:rsidR="0049667F" w:rsidRPr="0049667F" w:rsidRDefault="0049667F" w:rsidP="0049667F">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 xml:space="preserve">adopting and amending, as needed, its own rules of </w:t>
            </w:r>
            <w:proofErr w:type="gramStart"/>
            <w:r w:rsidRPr="0049667F">
              <w:rPr>
                <w:rFonts w:ascii="Times New Roman" w:eastAsia="Times New Roman" w:hAnsi="Times New Roman" w:cs="Times New Roman"/>
                <w:sz w:val="22"/>
                <w:szCs w:val="22"/>
              </w:rPr>
              <w:t>procedure;</w:t>
            </w:r>
            <w:proofErr w:type="gramEnd"/>
          </w:p>
          <w:p w14:paraId="097BD517" w14:textId="774434D0" w:rsidR="0049667F" w:rsidRPr="004E0F88" w:rsidRDefault="0049667F" w:rsidP="004E0F8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0049667F">
              <w:rPr>
                <w:rFonts w:ascii="Times New Roman" w:eastAsia="Times New Roman" w:hAnsi="Times New Roman" w:cs="Times New Roman"/>
                <w:sz w:val="22"/>
                <w:szCs w:val="22"/>
              </w:rPr>
              <w:t>reporting annually on the progress and achievements of EHP to the WHO Regional</w:t>
            </w:r>
            <w:r w:rsidR="004E0F88">
              <w:rPr>
                <w:rFonts w:ascii="Times New Roman" w:eastAsia="Times New Roman" w:hAnsi="Times New Roman" w:cs="Times New Roman"/>
                <w:sz w:val="22"/>
                <w:szCs w:val="22"/>
              </w:rPr>
              <w:t xml:space="preserve"> </w:t>
            </w:r>
            <w:r w:rsidRPr="004E0F88">
              <w:rPr>
                <w:rFonts w:ascii="Times New Roman" w:eastAsia="Times New Roman" w:hAnsi="Times New Roman" w:cs="Times New Roman"/>
                <w:sz w:val="22"/>
                <w:szCs w:val="22"/>
              </w:rPr>
              <w:t>Committee for Europe and to the UNECE Committee on Environmental Policy; and</w:t>
            </w:r>
          </w:p>
          <w:p w14:paraId="2FD2D2F2" w14:textId="447BFDCB" w:rsidR="00787719" w:rsidRPr="009333E3" w:rsidRDefault="608B8D26" w:rsidP="00034F03">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facilitating participation by young people’s organizations</w:t>
            </w:r>
            <w:r w:rsidR="120D3579" w:rsidRPr="51F8B297">
              <w:rPr>
                <w:rFonts w:ascii="Times New Roman" w:eastAsia="Times New Roman" w:hAnsi="Times New Roman" w:cs="Times New Roman"/>
                <w:sz w:val="22"/>
                <w:szCs w:val="22"/>
              </w:rPr>
              <w:t>.</w:t>
            </w:r>
          </w:p>
        </w:tc>
      </w:tr>
      <w:tr w:rsidR="00787719" w:rsidRPr="006C40FF" w14:paraId="1E73B092" w14:textId="77777777" w:rsidTr="004E0F88">
        <w:trPr>
          <w:trHeight w:val="300"/>
        </w:trPr>
        <w:tc>
          <w:tcPr>
            <w:tcW w:w="1635" w:type="dxa"/>
            <w:shd w:val="clear" w:color="auto" w:fill="DEEAF6" w:themeFill="accent1" w:themeFillTint="33"/>
            <w:hideMark/>
          </w:tcPr>
          <w:p w14:paraId="2B093360" w14:textId="77777777" w:rsidR="00787719" w:rsidRPr="006C40FF" w:rsidRDefault="00787719">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Participants</w:t>
            </w:r>
          </w:p>
        </w:tc>
        <w:tc>
          <w:tcPr>
            <w:tcW w:w="7695" w:type="dxa"/>
          </w:tcPr>
          <w:p w14:paraId="1B04B3D5" w14:textId="5944DCF6" w:rsidR="00787719" w:rsidRPr="006C40FF" w:rsidRDefault="00EE2B65">
            <w:pPr>
              <w:spacing w:before="80" w:after="80" w:line="259" w:lineRule="auto"/>
              <w:jc w:val="both"/>
              <w:textAlignment w:val="baseline"/>
              <w:rPr>
                <w:rFonts w:ascii="Times New Roman" w:eastAsia="Times New Roman" w:hAnsi="Times New Roman" w:cs="Times New Roman"/>
                <w:sz w:val="22"/>
                <w:szCs w:val="22"/>
              </w:rPr>
            </w:pPr>
            <w:r w:rsidRPr="00EE2B65">
              <w:rPr>
                <w:rFonts w:ascii="Times New Roman" w:eastAsia="Times New Roman" w:hAnsi="Times New Roman" w:cs="Times New Roman"/>
                <w:sz w:val="22"/>
                <w:szCs w:val="22"/>
              </w:rPr>
              <w:t xml:space="preserve">EHTF </w:t>
            </w:r>
            <w:r w:rsidR="002550AA">
              <w:rPr>
                <w:rFonts w:ascii="Times New Roman" w:eastAsia="Times New Roman" w:hAnsi="Times New Roman" w:cs="Times New Roman"/>
                <w:sz w:val="22"/>
                <w:szCs w:val="22"/>
              </w:rPr>
              <w:t xml:space="preserve">and its Bureau </w:t>
            </w:r>
            <w:r w:rsidRPr="00EE2B65">
              <w:rPr>
                <w:rFonts w:ascii="Times New Roman" w:eastAsia="Times New Roman" w:hAnsi="Times New Roman" w:cs="Times New Roman"/>
                <w:sz w:val="22"/>
                <w:szCs w:val="22"/>
              </w:rPr>
              <w:t>members with the EHP Secretariat</w:t>
            </w:r>
            <w:r w:rsidR="006C5134">
              <w:rPr>
                <w:rFonts w:ascii="Times New Roman" w:eastAsia="Times New Roman" w:hAnsi="Times New Roman" w:cs="Times New Roman"/>
                <w:sz w:val="22"/>
                <w:szCs w:val="22"/>
              </w:rPr>
              <w:t xml:space="preserve"> and possible guests (e.g. invited speakers)</w:t>
            </w:r>
          </w:p>
        </w:tc>
      </w:tr>
      <w:tr w:rsidR="00777FDA" w:rsidRPr="006C40FF" w14:paraId="32977A9D" w14:textId="77777777" w:rsidTr="004E0F88">
        <w:trPr>
          <w:trHeight w:val="300"/>
        </w:trPr>
        <w:tc>
          <w:tcPr>
            <w:tcW w:w="1635" w:type="dxa"/>
            <w:shd w:val="clear" w:color="auto" w:fill="DEEAF6" w:themeFill="accent1" w:themeFillTint="33"/>
          </w:tcPr>
          <w:p w14:paraId="34E1C7FD" w14:textId="3FC351CB" w:rsidR="00777FDA" w:rsidRPr="37589110" w:rsidRDefault="00777FDA">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Language</w:t>
            </w:r>
          </w:p>
        </w:tc>
        <w:tc>
          <w:tcPr>
            <w:tcW w:w="7695" w:type="dxa"/>
          </w:tcPr>
          <w:p w14:paraId="530CC79E" w14:textId="77777777" w:rsidR="003B2569" w:rsidRDefault="0000650B">
            <w:pPr>
              <w:spacing w:before="80" w:after="80" w:line="259"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r w:rsidR="00777FDA">
              <w:rPr>
                <w:rFonts w:ascii="Times New Roman" w:eastAsia="Times New Roman" w:hAnsi="Times New Roman" w:cs="Times New Roman"/>
                <w:sz w:val="22"/>
                <w:szCs w:val="22"/>
              </w:rPr>
              <w:t xml:space="preserve">EHTF meetings are held in English </w:t>
            </w:r>
            <w:r w:rsidR="00777FDA" w:rsidRPr="00213F78">
              <w:rPr>
                <w:rFonts w:ascii="Times New Roman" w:eastAsia="Times New Roman" w:hAnsi="Times New Roman" w:cs="Times New Roman"/>
                <w:sz w:val="22"/>
                <w:szCs w:val="22"/>
              </w:rPr>
              <w:t>with simultaneous interpretation into Russian</w:t>
            </w:r>
            <w:r w:rsidR="00777FDA">
              <w:rPr>
                <w:rFonts w:ascii="Times New Roman" w:eastAsia="Times New Roman" w:hAnsi="Times New Roman" w:cs="Times New Roman"/>
                <w:sz w:val="22"/>
                <w:szCs w:val="22"/>
              </w:rPr>
              <w:t>.</w:t>
            </w:r>
            <w:r w:rsidR="00853533">
              <w:rPr>
                <w:rFonts w:ascii="Times New Roman" w:eastAsia="Times New Roman" w:hAnsi="Times New Roman" w:cs="Times New Roman"/>
                <w:sz w:val="22"/>
                <w:szCs w:val="22"/>
              </w:rPr>
              <w:t xml:space="preserve"> </w:t>
            </w:r>
          </w:p>
          <w:p w14:paraId="54C2071B" w14:textId="5BCFEEE6" w:rsidR="00777FDA" w:rsidRPr="00EE2B65" w:rsidRDefault="00723819">
            <w:pPr>
              <w:spacing w:before="80" w:after="80" w:line="259" w:lineRule="auto"/>
              <w:jc w:val="both"/>
              <w:textAlignment w:val="baseline"/>
              <w:rPr>
                <w:rFonts w:ascii="Times New Roman" w:eastAsia="Times New Roman" w:hAnsi="Times New Roman" w:cs="Times New Roman"/>
                <w:sz w:val="22"/>
                <w:szCs w:val="22"/>
              </w:rPr>
            </w:pPr>
            <w:r w:rsidRPr="00723819">
              <w:rPr>
                <w:rFonts w:ascii="Times New Roman" w:eastAsia="Times New Roman" w:hAnsi="Times New Roman" w:cs="Times New Roman"/>
                <w:sz w:val="22"/>
                <w:szCs w:val="22"/>
              </w:rPr>
              <w:t>The EHTF Bureau operates and conducts meetings in English.</w:t>
            </w:r>
          </w:p>
        </w:tc>
      </w:tr>
      <w:tr w:rsidR="006A53A6" w:rsidRPr="006C40FF" w14:paraId="464B50A5" w14:textId="77777777" w:rsidTr="004E0F88">
        <w:trPr>
          <w:trHeight w:val="675"/>
        </w:trPr>
        <w:tc>
          <w:tcPr>
            <w:tcW w:w="1635" w:type="dxa"/>
            <w:shd w:val="clear" w:color="auto" w:fill="DEEAF6" w:themeFill="accent1" w:themeFillTint="33"/>
          </w:tcPr>
          <w:p w14:paraId="54570258" w14:textId="3CFFB54D" w:rsidR="006A53A6" w:rsidRPr="37589110" w:rsidRDefault="00B567D3">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Venue</w:t>
            </w:r>
          </w:p>
        </w:tc>
        <w:tc>
          <w:tcPr>
            <w:tcW w:w="7695" w:type="dxa"/>
          </w:tcPr>
          <w:p w14:paraId="2901D4BE" w14:textId="7E7192DA" w:rsidR="00D711EE" w:rsidRPr="00FD5D5E" w:rsidRDefault="00D711EE" w:rsidP="00D00F94">
            <w:pPr>
              <w:spacing w:before="80" w:after="80" w:line="259" w:lineRule="auto"/>
              <w:jc w:val="both"/>
              <w:textAlignment w:val="baseline"/>
              <w:rPr>
                <w:rFonts w:ascii="Times New Roman" w:eastAsia="Times New Roman" w:hAnsi="Times New Roman" w:cs="Times New Roman"/>
                <w:sz w:val="22"/>
                <w:szCs w:val="22"/>
              </w:rPr>
            </w:pPr>
            <w:r w:rsidRPr="00D711EE">
              <w:rPr>
                <w:rFonts w:ascii="Times New Roman" w:eastAsia="Times New Roman" w:hAnsi="Times New Roman" w:cs="Times New Roman"/>
                <w:sz w:val="22"/>
                <w:szCs w:val="22"/>
              </w:rPr>
              <w:t>The EHTF is eligible to be hosted by</w:t>
            </w:r>
            <w:r w:rsidR="00796D65">
              <w:rPr>
                <w:rFonts w:ascii="Times New Roman" w:eastAsia="Times New Roman" w:hAnsi="Times New Roman" w:cs="Times New Roman"/>
                <w:sz w:val="22"/>
                <w:szCs w:val="22"/>
              </w:rPr>
              <w:t xml:space="preserve"> any</w:t>
            </w:r>
            <w:r w:rsidRPr="00D711E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M</w:t>
            </w:r>
            <w:r w:rsidRPr="00D711EE">
              <w:rPr>
                <w:rFonts w:ascii="Times New Roman" w:eastAsia="Times New Roman" w:hAnsi="Times New Roman" w:cs="Times New Roman"/>
                <w:sz w:val="22"/>
                <w:szCs w:val="22"/>
              </w:rPr>
              <w:t xml:space="preserve">ember </w:t>
            </w:r>
            <w:r>
              <w:rPr>
                <w:rFonts w:ascii="Times New Roman" w:eastAsia="Times New Roman" w:hAnsi="Times New Roman" w:cs="Times New Roman"/>
                <w:sz w:val="22"/>
                <w:szCs w:val="22"/>
              </w:rPr>
              <w:t>S</w:t>
            </w:r>
            <w:r w:rsidRPr="00D711EE">
              <w:rPr>
                <w:rFonts w:ascii="Times New Roman" w:eastAsia="Times New Roman" w:hAnsi="Times New Roman" w:cs="Times New Roman"/>
                <w:sz w:val="22"/>
                <w:szCs w:val="22"/>
              </w:rPr>
              <w:t xml:space="preserve">tates or recognized stakeholders. For 2025, </w:t>
            </w:r>
            <w:r w:rsidR="00B01309" w:rsidRPr="00B567D3">
              <w:rPr>
                <w:rFonts w:ascii="Times New Roman" w:eastAsia="Times New Roman" w:hAnsi="Times New Roman" w:cs="Times New Roman"/>
                <w:sz w:val="22"/>
                <w:szCs w:val="22"/>
              </w:rPr>
              <w:t xml:space="preserve">members of the </w:t>
            </w:r>
            <w:r w:rsidRPr="00D711EE">
              <w:rPr>
                <w:rFonts w:ascii="Times New Roman" w:eastAsia="Times New Roman" w:hAnsi="Times New Roman" w:cs="Times New Roman"/>
                <w:sz w:val="22"/>
                <w:szCs w:val="22"/>
              </w:rPr>
              <w:t xml:space="preserve">EHTF </w:t>
            </w:r>
            <w:r w:rsidR="000C591D">
              <w:rPr>
                <w:rFonts w:ascii="Times New Roman" w:eastAsia="Times New Roman" w:hAnsi="Times New Roman" w:cs="Times New Roman"/>
                <w:sz w:val="22"/>
                <w:szCs w:val="22"/>
              </w:rPr>
              <w:t>are</w:t>
            </w:r>
            <w:r w:rsidR="00B01309" w:rsidRPr="00D711EE">
              <w:rPr>
                <w:rFonts w:ascii="Times New Roman" w:eastAsia="Times New Roman" w:hAnsi="Times New Roman" w:cs="Times New Roman"/>
                <w:sz w:val="22"/>
                <w:szCs w:val="22"/>
              </w:rPr>
              <w:t xml:space="preserve"> invite</w:t>
            </w:r>
            <w:r w:rsidR="00237182">
              <w:rPr>
                <w:rFonts w:ascii="Times New Roman" w:eastAsia="Times New Roman" w:hAnsi="Times New Roman" w:cs="Times New Roman"/>
                <w:sz w:val="22"/>
                <w:szCs w:val="22"/>
              </w:rPr>
              <w:t>d</w:t>
            </w:r>
            <w:r w:rsidR="00B01309" w:rsidRPr="00D711EE">
              <w:rPr>
                <w:rFonts w:ascii="Times New Roman" w:eastAsia="Times New Roman" w:hAnsi="Times New Roman" w:cs="Times New Roman"/>
                <w:sz w:val="22"/>
                <w:szCs w:val="22"/>
              </w:rPr>
              <w:t xml:space="preserve"> </w:t>
            </w:r>
            <w:r w:rsidRPr="00D711EE">
              <w:rPr>
                <w:rFonts w:ascii="Times New Roman" w:eastAsia="Times New Roman" w:hAnsi="Times New Roman" w:cs="Times New Roman"/>
                <w:sz w:val="22"/>
                <w:szCs w:val="22"/>
              </w:rPr>
              <w:t xml:space="preserve">to consider the possibility of hosting </w:t>
            </w:r>
            <w:r w:rsidR="000C591D">
              <w:rPr>
                <w:rFonts w:ascii="Times New Roman" w:eastAsia="Times New Roman" w:hAnsi="Times New Roman" w:cs="Times New Roman"/>
                <w:sz w:val="22"/>
                <w:szCs w:val="22"/>
              </w:rPr>
              <w:t xml:space="preserve">the </w:t>
            </w:r>
            <w:r w:rsidRPr="00D711EE">
              <w:rPr>
                <w:rFonts w:ascii="Times New Roman" w:eastAsia="Times New Roman" w:hAnsi="Times New Roman" w:cs="Times New Roman"/>
                <w:sz w:val="22"/>
                <w:szCs w:val="22"/>
              </w:rPr>
              <w:t xml:space="preserve">meeting </w:t>
            </w:r>
            <w:r w:rsidR="000C591D">
              <w:rPr>
                <w:rFonts w:ascii="Times New Roman" w:eastAsia="Times New Roman" w:hAnsi="Times New Roman" w:cs="Times New Roman"/>
                <w:sz w:val="22"/>
                <w:szCs w:val="22"/>
              </w:rPr>
              <w:t>in</w:t>
            </w:r>
            <w:r w:rsidRPr="00D711EE">
              <w:rPr>
                <w:rFonts w:ascii="Times New Roman" w:eastAsia="Times New Roman" w:hAnsi="Times New Roman" w:cs="Times New Roman"/>
                <w:sz w:val="22"/>
                <w:szCs w:val="22"/>
              </w:rPr>
              <w:t xml:space="preserve"> their </w:t>
            </w:r>
            <w:r w:rsidR="005412A6">
              <w:rPr>
                <w:rFonts w:ascii="Times New Roman" w:eastAsia="Times New Roman" w:hAnsi="Times New Roman" w:cs="Times New Roman"/>
                <w:sz w:val="22"/>
                <w:szCs w:val="22"/>
              </w:rPr>
              <w:t xml:space="preserve">respective </w:t>
            </w:r>
            <w:r w:rsidRPr="00D711EE">
              <w:rPr>
                <w:rFonts w:ascii="Times New Roman" w:eastAsia="Times New Roman" w:hAnsi="Times New Roman" w:cs="Times New Roman"/>
                <w:sz w:val="22"/>
                <w:szCs w:val="22"/>
              </w:rPr>
              <w:t>countries.</w:t>
            </w:r>
          </w:p>
        </w:tc>
      </w:tr>
      <w:tr w:rsidR="00787719" w:rsidRPr="006C40FF" w14:paraId="7275D633" w14:textId="77777777" w:rsidTr="004E0F88">
        <w:trPr>
          <w:trHeight w:val="675"/>
        </w:trPr>
        <w:tc>
          <w:tcPr>
            <w:tcW w:w="1635" w:type="dxa"/>
            <w:shd w:val="clear" w:color="auto" w:fill="DEEAF6" w:themeFill="accent1" w:themeFillTint="33"/>
            <w:hideMark/>
          </w:tcPr>
          <w:p w14:paraId="3B238F63" w14:textId="77777777" w:rsidR="00787719" w:rsidRPr="006C40FF" w:rsidRDefault="00787719">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Resources needed</w:t>
            </w:r>
          </w:p>
        </w:tc>
        <w:tc>
          <w:tcPr>
            <w:tcW w:w="7695" w:type="dxa"/>
          </w:tcPr>
          <w:p w14:paraId="5E40AE91" w14:textId="6E590FC0" w:rsidR="00787719" w:rsidRPr="005B1556" w:rsidRDefault="00FD5D5E" w:rsidP="00412655">
            <w:pPr>
              <w:spacing w:before="80" w:after="80" w:line="259" w:lineRule="auto"/>
              <w:jc w:val="both"/>
              <w:textAlignment w:val="baseline"/>
              <w:rPr>
                <w:rFonts w:eastAsia="Times New Roman" w:cs="Times New Roman"/>
                <w:sz w:val="22"/>
                <w:szCs w:val="22"/>
                <w:lang w:val="ka-GE"/>
              </w:rPr>
            </w:pPr>
            <w:r w:rsidRPr="00FD5D5E">
              <w:rPr>
                <w:rFonts w:ascii="Times New Roman" w:eastAsia="Times New Roman" w:hAnsi="Times New Roman" w:cs="Times New Roman"/>
                <w:sz w:val="22"/>
                <w:szCs w:val="22"/>
              </w:rPr>
              <w:t xml:space="preserve">Costs to hold two physical EHTF meetings and four virtual Bureau meetings in 2024/2025 are estimated in ca </w:t>
            </w:r>
            <w:r w:rsidR="002623E8" w:rsidRPr="002623E8">
              <w:rPr>
                <w:rFonts w:ascii="Times New Roman" w:eastAsia="Times New Roman" w:hAnsi="Times New Roman" w:cs="Times New Roman"/>
                <w:sz w:val="22"/>
                <w:szCs w:val="22"/>
              </w:rPr>
              <w:t>160,000 – 200,000 USD (i.e. 80,000 – 100,000 USD each)</w:t>
            </w:r>
            <w:r w:rsidR="002623E8">
              <w:rPr>
                <w:rFonts w:ascii="Times New Roman" w:eastAsia="Times New Roman" w:hAnsi="Times New Roman" w:cs="Times New Roman"/>
                <w:sz w:val="22"/>
                <w:szCs w:val="22"/>
              </w:rPr>
              <w:t>.</w:t>
            </w:r>
            <w:r w:rsidR="002623E8" w:rsidRPr="00FD5D5E">
              <w:rPr>
                <w:rFonts w:ascii="Times New Roman" w:eastAsia="Times New Roman" w:hAnsi="Times New Roman" w:cs="Times New Roman"/>
                <w:sz w:val="22"/>
                <w:szCs w:val="22"/>
              </w:rPr>
              <w:t xml:space="preserve"> </w:t>
            </w:r>
            <w:r w:rsidR="002623E8">
              <w:rPr>
                <w:rFonts w:ascii="Times New Roman" w:eastAsia="Times New Roman" w:hAnsi="Times New Roman" w:cs="Times New Roman"/>
                <w:sz w:val="22"/>
                <w:szCs w:val="22"/>
              </w:rPr>
              <w:t>R</w:t>
            </w:r>
            <w:r w:rsidRPr="00FD5D5E">
              <w:rPr>
                <w:rFonts w:ascii="Times New Roman" w:eastAsia="Times New Roman" w:hAnsi="Times New Roman" w:cs="Times New Roman"/>
                <w:sz w:val="22"/>
                <w:szCs w:val="22"/>
              </w:rPr>
              <w:t>esource mobilization efforts are needed to identify hosts and funds.</w:t>
            </w:r>
            <w:r w:rsidR="00412655">
              <w:rPr>
                <w:rFonts w:ascii="Times New Roman" w:eastAsia="Times New Roman" w:hAnsi="Times New Roman" w:cs="Times New Roman"/>
                <w:sz w:val="22"/>
                <w:szCs w:val="22"/>
              </w:rPr>
              <w:t xml:space="preserve"> </w:t>
            </w:r>
            <w:r w:rsidR="00CA6023" w:rsidRPr="00CA6023">
              <w:rPr>
                <w:rFonts w:ascii="Times New Roman" w:eastAsia="Times New Roman" w:hAnsi="Times New Roman" w:cs="Times New Roman"/>
                <w:sz w:val="22"/>
                <w:szCs w:val="22"/>
              </w:rPr>
              <w:t xml:space="preserve">If the meeting is hosted </w:t>
            </w:r>
            <w:r w:rsidR="0044505C">
              <w:rPr>
                <w:rFonts w:ascii="Times New Roman" w:eastAsia="Times New Roman" w:hAnsi="Times New Roman" w:cs="Times New Roman"/>
                <w:sz w:val="22"/>
                <w:szCs w:val="22"/>
              </w:rPr>
              <w:t xml:space="preserve">outside </w:t>
            </w:r>
            <w:r w:rsidR="007B688C">
              <w:rPr>
                <w:rFonts w:ascii="Times New Roman" w:eastAsia="Times New Roman" w:hAnsi="Times New Roman" w:cs="Times New Roman"/>
                <w:sz w:val="22"/>
                <w:szCs w:val="22"/>
              </w:rPr>
              <w:t>of</w:t>
            </w:r>
            <w:r w:rsidR="00CA6023" w:rsidRPr="00CA6023" w:rsidDel="007B688C">
              <w:rPr>
                <w:rFonts w:ascii="Times New Roman" w:eastAsia="Times New Roman" w:hAnsi="Times New Roman" w:cs="Times New Roman"/>
                <w:sz w:val="22"/>
                <w:szCs w:val="22"/>
              </w:rPr>
              <w:t xml:space="preserve"> </w:t>
            </w:r>
            <w:r w:rsidR="00CA6023" w:rsidRPr="00CA6023">
              <w:rPr>
                <w:rFonts w:ascii="Times New Roman" w:eastAsia="Times New Roman" w:hAnsi="Times New Roman" w:cs="Times New Roman"/>
                <w:sz w:val="22"/>
                <w:szCs w:val="22"/>
              </w:rPr>
              <w:t>the secretariat</w:t>
            </w:r>
            <w:r w:rsidR="007B688C">
              <w:rPr>
                <w:rFonts w:ascii="Times New Roman" w:eastAsia="Times New Roman" w:hAnsi="Times New Roman" w:cs="Times New Roman"/>
                <w:sz w:val="22"/>
                <w:szCs w:val="22"/>
              </w:rPr>
              <w:t>’s premises</w:t>
            </w:r>
            <w:r w:rsidR="00CA6023" w:rsidRPr="00CA6023">
              <w:rPr>
                <w:rFonts w:ascii="Times New Roman" w:eastAsia="Times New Roman" w:hAnsi="Times New Roman" w:cs="Times New Roman"/>
                <w:sz w:val="22"/>
                <w:szCs w:val="22"/>
              </w:rPr>
              <w:t xml:space="preserve">, in-kind contributions </w:t>
            </w:r>
            <w:r w:rsidR="001C5E04">
              <w:rPr>
                <w:rFonts w:ascii="Times New Roman" w:eastAsia="Times New Roman" w:hAnsi="Times New Roman" w:cs="Times New Roman"/>
                <w:sz w:val="22"/>
                <w:szCs w:val="22"/>
              </w:rPr>
              <w:t>will be considered</w:t>
            </w:r>
            <w:r w:rsidR="007B688C">
              <w:rPr>
                <w:rFonts w:ascii="Times New Roman" w:eastAsia="Times New Roman" w:hAnsi="Times New Roman" w:cs="Times New Roman"/>
                <w:sz w:val="22"/>
                <w:szCs w:val="22"/>
              </w:rPr>
              <w:t>.</w:t>
            </w:r>
          </w:p>
        </w:tc>
      </w:tr>
    </w:tbl>
    <w:p w14:paraId="6B7F71C5" w14:textId="77777777" w:rsidR="004E0F88" w:rsidRDefault="004E0F88">
      <w:pPr>
        <w:rPr>
          <w:rFonts w:asciiTheme="majorHAnsi" w:eastAsiaTheme="majorEastAsia" w:hAnsiTheme="majorHAnsi" w:cstheme="majorBidi"/>
          <w:b/>
          <w:color w:val="385623" w:themeColor="accent6" w:themeShade="80"/>
          <w:sz w:val="24"/>
          <w:szCs w:val="36"/>
          <w:lang w:val="en-GB"/>
        </w:rPr>
      </w:pPr>
      <w:r>
        <w:rPr>
          <w:lang w:val="en-GB"/>
        </w:rPr>
        <w:br w:type="page"/>
      </w:r>
    </w:p>
    <w:p w14:paraId="47D3F182" w14:textId="2C121F4D" w:rsidR="00BA3FDB" w:rsidRPr="00BA3FDB" w:rsidRDefault="00BA3FDB" w:rsidP="004E0F88">
      <w:pPr>
        <w:pStyle w:val="Heading2"/>
        <w:rPr>
          <w:lang w:val="en-GB"/>
        </w:rPr>
      </w:pPr>
      <w:bookmarkStart w:id="6" w:name="_Toc164096697"/>
      <w:r w:rsidRPr="00BA3FDB">
        <w:rPr>
          <w:lang w:val="en-GB"/>
        </w:rPr>
        <w:lastRenderedPageBreak/>
        <w:t>2.</w:t>
      </w:r>
      <w:r>
        <w:rPr>
          <w:lang w:val="en-GB"/>
        </w:rPr>
        <w:t>2</w:t>
      </w:r>
      <w:r w:rsidRPr="00BA3FDB">
        <w:rPr>
          <w:lang w:val="en-GB"/>
        </w:rPr>
        <w:t xml:space="preserve">. Meetings of </w:t>
      </w:r>
      <w:r>
        <w:rPr>
          <w:lang w:val="en-GB"/>
        </w:rPr>
        <w:t xml:space="preserve">bodies established under the </w:t>
      </w:r>
      <w:proofErr w:type="gramStart"/>
      <w:r>
        <w:rPr>
          <w:lang w:val="en-GB"/>
        </w:rPr>
        <w:t>EHTF</w:t>
      </w:r>
      <w:bookmarkEnd w:id="6"/>
      <w:proofErr w:type="gramEnd"/>
    </w:p>
    <w:p w14:paraId="52FF9C0E" w14:textId="13A9BA68" w:rsidR="002E6418" w:rsidRDefault="00BA3FDB" w:rsidP="002E6418">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Meetings of </w:t>
      </w:r>
      <w:r w:rsidR="004E0F88">
        <w:rPr>
          <w:rFonts w:ascii="Times New Roman" w:hAnsi="Times New Roman" w:cs="Times New Roman"/>
          <w:sz w:val="24"/>
          <w:szCs w:val="24"/>
          <w:lang w:val="en-GB"/>
        </w:rPr>
        <w:t>t</w:t>
      </w:r>
      <w:r w:rsidR="00A503E9" w:rsidRPr="51F8B297">
        <w:rPr>
          <w:rFonts w:ascii="Times New Roman" w:hAnsi="Times New Roman" w:cs="Times New Roman"/>
          <w:sz w:val="24"/>
          <w:szCs w:val="24"/>
          <w:lang w:val="en-GB"/>
        </w:rPr>
        <w:t>he Working Group on Health in Climate Change (HIC)</w:t>
      </w:r>
      <w:r w:rsidR="0014543C" w:rsidRPr="51F8B297">
        <w:rPr>
          <w:rFonts w:ascii="Times New Roman" w:hAnsi="Times New Roman" w:cs="Times New Roman"/>
          <w:sz w:val="24"/>
          <w:szCs w:val="24"/>
          <w:lang w:val="en-GB"/>
        </w:rPr>
        <w:t>, established by the EHTF at its 3</w:t>
      </w:r>
      <w:r w:rsidR="0014543C" w:rsidRPr="51F8B297">
        <w:rPr>
          <w:rFonts w:ascii="Times New Roman" w:hAnsi="Times New Roman" w:cs="Times New Roman"/>
          <w:sz w:val="24"/>
          <w:szCs w:val="24"/>
          <w:vertAlign w:val="superscript"/>
          <w:lang w:val="en-GB"/>
        </w:rPr>
        <w:t>rd</w:t>
      </w:r>
      <w:r w:rsidR="0014543C" w:rsidRPr="51F8B297">
        <w:rPr>
          <w:rFonts w:ascii="Times New Roman" w:hAnsi="Times New Roman" w:cs="Times New Roman"/>
          <w:sz w:val="24"/>
          <w:szCs w:val="24"/>
          <w:lang w:val="en-GB"/>
        </w:rPr>
        <w:t xml:space="preserve"> meeting in 2013,</w:t>
      </w:r>
      <w:r w:rsidR="00A503E9" w:rsidRPr="51F8B297">
        <w:rPr>
          <w:rFonts w:ascii="Times New Roman" w:hAnsi="Times New Roman" w:cs="Times New Roman"/>
          <w:sz w:val="24"/>
          <w:szCs w:val="24"/>
          <w:lang w:val="en-GB"/>
        </w:rPr>
        <w:t xml:space="preserve"> facilitates the dialogue among Member States in the WHO European Region and other stakeholders, as well as communication and implementation of commitments to protect health from the adverse effects of climate change.</w:t>
      </w:r>
      <w:r w:rsidR="002074D9" w:rsidRPr="51F8B297">
        <w:rPr>
          <w:rFonts w:ascii="Times New Roman" w:hAnsi="Times New Roman" w:cs="Times New Roman"/>
          <w:sz w:val="24"/>
          <w:szCs w:val="24"/>
          <w:lang w:val="en-GB"/>
        </w:rPr>
        <w:t xml:space="preserve"> A proposal for the organization of the HIC meetings is provided in Table </w:t>
      </w:r>
      <w:r w:rsidR="00604823" w:rsidRPr="51F8B297">
        <w:rPr>
          <w:rFonts w:ascii="Times New Roman" w:hAnsi="Times New Roman" w:cs="Times New Roman"/>
          <w:sz w:val="24"/>
          <w:szCs w:val="24"/>
          <w:lang w:val="en-GB"/>
        </w:rPr>
        <w:t>2</w:t>
      </w:r>
      <w:r w:rsidR="002074D9" w:rsidRPr="51F8B297">
        <w:rPr>
          <w:rFonts w:ascii="Times New Roman" w:hAnsi="Times New Roman" w:cs="Times New Roman"/>
          <w:sz w:val="24"/>
          <w:szCs w:val="24"/>
          <w:lang w:val="en-GB"/>
        </w:rPr>
        <w:t>.</w:t>
      </w:r>
    </w:p>
    <w:p w14:paraId="51045DD8" w14:textId="51DB48E2" w:rsidR="0072443E" w:rsidRPr="002F2BB7" w:rsidRDefault="0072443E" w:rsidP="002F2BB7">
      <w:pPr>
        <w:pStyle w:val="ListParagraph"/>
        <w:spacing w:before="120" w:after="120" w:line="259" w:lineRule="auto"/>
        <w:ind w:left="6"/>
        <w:textAlignment w:val="baseline"/>
        <w:rPr>
          <w:rFonts w:ascii="Times New Roman" w:eastAsia="Times New Roman" w:hAnsi="Times New Roman" w:cs="Times New Roman"/>
          <w:b/>
          <w:bCs/>
          <w:i/>
          <w:iCs/>
          <w:color w:val="2F5496" w:themeColor="accent5" w:themeShade="BF"/>
          <w:sz w:val="22"/>
          <w:szCs w:val="22"/>
          <w:lang w:val="en-GB"/>
        </w:rPr>
      </w:pPr>
      <w:r w:rsidRPr="002F2BB7">
        <w:rPr>
          <w:rFonts w:ascii="Times New Roman" w:eastAsia="Times New Roman" w:hAnsi="Times New Roman" w:cs="Times New Roman"/>
          <w:b/>
          <w:bCs/>
          <w:i/>
          <w:iCs/>
          <w:color w:val="2F5496" w:themeColor="accent5" w:themeShade="BF"/>
          <w:sz w:val="22"/>
          <w:szCs w:val="22"/>
          <w:lang w:val="en-GB"/>
        </w:rPr>
        <w:t xml:space="preserve">Table 2. </w:t>
      </w:r>
      <w:r w:rsidR="00CB1951">
        <w:rPr>
          <w:rFonts w:ascii="Times New Roman" w:eastAsia="Times New Roman" w:hAnsi="Times New Roman" w:cs="Times New Roman"/>
          <w:b/>
          <w:bCs/>
          <w:i/>
          <w:iCs/>
          <w:color w:val="2F5496" w:themeColor="accent5" w:themeShade="BF"/>
          <w:sz w:val="22"/>
          <w:szCs w:val="22"/>
          <w:lang w:val="en-GB"/>
        </w:rPr>
        <w:t>Pro</w:t>
      </w:r>
      <w:r w:rsidR="00E5764D">
        <w:rPr>
          <w:rFonts w:ascii="Times New Roman" w:eastAsia="Times New Roman" w:hAnsi="Times New Roman" w:cs="Times New Roman"/>
          <w:b/>
          <w:bCs/>
          <w:i/>
          <w:iCs/>
          <w:color w:val="2F5496" w:themeColor="accent5" w:themeShade="BF"/>
          <w:sz w:val="22"/>
          <w:szCs w:val="22"/>
          <w:lang w:val="en-GB"/>
        </w:rPr>
        <w:t>posal fo</w:t>
      </w:r>
      <w:r w:rsidR="00174A58">
        <w:rPr>
          <w:rFonts w:ascii="Times New Roman" w:eastAsia="Times New Roman" w:hAnsi="Times New Roman" w:cs="Times New Roman"/>
          <w:b/>
          <w:bCs/>
          <w:i/>
          <w:iCs/>
          <w:color w:val="2F5496" w:themeColor="accent5" w:themeShade="BF"/>
          <w:sz w:val="22"/>
          <w:szCs w:val="22"/>
          <w:lang w:val="en-GB"/>
        </w:rPr>
        <w:t xml:space="preserve">r </w:t>
      </w:r>
      <w:r w:rsidR="00174A58" w:rsidRPr="00174A58">
        <w:rPr>
          <w:rFonts w:ascii="Times New Roman" w:eastAsia="Times New Roman" w:hAnsi="Times New Roman" w:cs="Times New Roman"/>
          <w:b/>
          <w:bCs/>
          <w:i/>
          <w:iCs/>
          <w:color w:val="2F5496" w:themeColor="accent5" w:themeShade="BF"/>
          <w:sz w:val="22"/>
          <w:szCs w:val="22"/>
          <w:lang w:val="en-GB"/>
        </w:rPr>
        <w:t xml:space="preserve">the organisation of the </w:t>
      </w:r>
      <w:r w:rsidRPr="002F2BB7">
        <w:rPr>
          <w:rFonts w:ascii="Times New Roman" w:eastAsia="Times New Roman" w:hAnsi="Times New Roman" w:cs="Times New Roman"/>
          <w:b/>
          <w:bCs/>
          <w:i/>
          <w:iCs/>
          <w:color w:val="2F5496" w:themeColor="accent5" w:themeShade="BF"/>
          <w:sz w:val="22"/>
          <w:szCs w:val="22"/>
          <w:lang w:val="en-GB"/>
        </w:rPr>
        <w:t>meeting</w:t>
      </w:r>
      <w:r w:rsidR="00327BBB">
        <w:rPr>
          <w:rFonts w:ascii="Times New Roman" w:eastAsia="Times New Roman" w:hAnsi="Times New Roman" w:cs="Times New Roman"/>
          <w:b/>
          <w:bCs/>
          <w:i/>
          <w:iCs/>
          <w:color w:val="2F5496" w:themeColor="accent5" w:themeShade="BF"/>
          <w:sz w:val="22"/>
          <w:szCs w:val="22"/>
          <w:lang w:val="en-GB"/>
        </w:rPr>
        <w:t>s</w:t>
      </w:r>
      <w:r w:rsidRPr="002F2BB7">
        <w:rPr>
          <w:rFonts w:ascii="Times New Roman" w:eastAsia="Times New Roman" w:hAnsi="Times New Roman" w:cs="Times New Roman"/>
          <w:b/>
          <w:bCs/>
          <w:i/>
          <w:iCs/>
          <w:color w:val="2F5496" w:themeColor="accent5" w:themeShade="BF"/>
          <w:sz w:val="22"/>
          <w:szCs w:val="22"/>
          <w:lang w:val="en-GB"/>
        </w:rPr>
        <w:t xml:space="preserve"> of the </w:t>
      </w:r>
      <w:r w:rsidR="00AF6A9D">
        <w:rPr>
          <w:rFonts w:ascii="Times New Roman" w:eastAsia="Times New Roman" w:hAnsi="Times New Roman" w:cs="Times New Roman"/>
          <w:b/>
          <w:bCs/>
          <w:i/>
          <w:iCs/>
          <w:color w:val="2F5496" w:themeColor="accent5" w:themeShade="BF"/>
          <w:sz w:val="22"/>
          <w:szCs w:val="22"/>
          <w:lang w:val="en-GB"/>
        </w:rPr>
        <w:t xml:space="preserve">HIC </w:t>
      </w:r>
      <w:r w:rsidRPr="002F2BB7">
        <w:rPr>
          <w:rFonts w:ascii="Times New Roman" w:eastAsia="Times New Roman" w:hAnsi="Times New Roman" w:cs="Times New Roman"/>
          <w:b/>
          <w:bCs/>
          <w:i/>
          <w:iCs/>
          <w:color w:val="2F5496" w:themeColor="accent5" w:themeShade="BF"/>
          <w:sz w:val="22"/>
          <w:szCs w:val="22"/>
          <w:lang w:val="en-GB"/>
        </w:rPr>
        <w:t>Working Group</w:t>
      </w:r>
    </w:p>
    <w:tbl>
      <w:tblPr>
        <w:tblStyle w:val="TableGrid"/>
        <w:tblW w:w="9330" w:type="dxa"/>
        <w:tblLook w:val="04A0" w:firstRow="1" w:lastRow="0" w:firstColumn="1" w:lastColumn="0" w:noHBand="0" w:noVBand="1"/>
      </w:tblPr>
      <w:tblGrid>
        <w:gridCol w:w="1635"/>
        <w:gridCol w:w="7695"/>
      </w:tblGrid>
      <w:tr w:rsidR="0072443E" w:rsidRPr="006C40FF" w14:paraId="144F64B5" w14:textId="77777777" w:rsidTr="004E0F88">
        <w:trPr>
          <w:trHeight w:val="300"/>
        </w:trPr>
        <w:tc>
          <w:tcPr>
            <w:tcW w:w="1635" w:type="dxa"/>
            <w:shd w:val="clear" w:color="auto" w:fill="DEEAF6" w:themeFill="accent1" w:themeFillTint="33"/>
            <w:hideMark/>
          </w:tcPr>
          <w:p w14:paraId="2F90FE50" w14:textId="77777777" w:rsidR="0072443E" w:rsidRPr="006C40FF" w:rsidRDefault="0072443E">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Objective</w:t>
            </w:r>
            <w:r>
              <w:rPr>
                <w:rFonts w:ascii="Times New Roman" w:eastAsia="Times New Roman" w:hAnsi="Times New Roman" w:cs="Times New Roman"/>
                <w:b/>
                <w:bCs/>
                <w:sz w:val="22"/>
                <w:szCs w:val="22"/>
              </w:rPr>
              <w:t>s</w:t>
            </w:r>
          </w:p>
        </w:tc>
        <w:tc>
          <w:tcPr>
            <w:tcW w:w="7695" w:type="dxa"/>
          </w:tcPr>
          <w:p w14:paraId="35CA4EF6" w14:textId="30C32D40" w:rsidR="00536B18" w:rsidRPr="00F02F61" w:rsidRDefault="0014543C" w:rsidP="00536B18">
            <w:pPr>
              <w:spacing w:before="80" w:after="80" w:line="259" w:lineRule="auto"/>
              <w:jc w:val="both"/>
              <w:textAlignment w:val="baseline"/>
              <w:rPr>
                <w:rFonts w:ascii="Times New Roman" w:eastAsia="Times New Roman" w:hAnsi="Times New Roman" w:cs="Times New Roman"/>
                <w:sz w:val="22"/>
                <w:szCs w:val="22"/>
              </w:rPr>
            </w:pPr>
            <w:r w:rsidRPr="00F02F61">
              <w:rPr>
                <w:rFonts w:ascii="Times New Roman" w:eastAsia="Times New Roman" w:hAnsi="Times New Roman" w:cs="Times New Roman"/>
                <w:sz w:val="22"/>
                <w:szCs w:val="22"/>
              </w:rPr>
              <w:t xml:space="preserve">The main objectives of the </w:t>
            </w:r>
            <w:r>
              <w:rPr>
                <w:rFonts w:ascii="Times New Roman" w:eastAsia="Times New Roman" w:hAnsi="Times New Roman" w:cs="Times New Roman"/>
                <w:sz w:val="22"/>
                <w:szCs w:val="22"/>
              </w:rPr>
              <w:t>HIC</w:t>
            </w:r>
            <w:r w:rsidR="00290AA7" w:rsidRPr="00290AA7">
              <w:rPr>
                <w:rFonts w:ascii="Times New Roman" w:eastAsia="Times New Roman" w:hAnsi="Times New Roman" w:cs="Times New Roman"/>
                <w:sz w:val="22"/>
                <w:szCs w:val="22"/>
              </w:rPr>
              <w:t>, as outlined</w:t>
            </w:r>
            <w:r w:rsidRPr="00F02F6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in its Terms of Reference</w:t>
            </w:r>
            <w:r w:rsidR="00290AA7" w:rsidRPr="00290AA7">
              <w:rPr>
                <w:rFonts w:ascii="Times New Roman" w:eastAsia="Times New Roman" w:hAnsi="Times New Roman" w:cs="Times New Roman"/>
                <w:sz w:val="22"/>
                <w:szCs w:val="22"/>
              </w:rPr>
              <w:t>,</w:t>
            </w:r>
            <w:r w:rsidR="00536B18" w:rsidRPr="00F02F61">
              <w:rPr>
                <w:rFonts w:ascii="Times New Roman" w:eastAsia="Times New Roman" w:hAnsi="Times New Roman" w:cs="Times New Roman"/>
                <w:sz w:val="22"/>
                <w:szCs w:val="22"/>
              </w:rPr>
              <w:t xml:space="preserve"> are </w:t>
            </w:r>
            <w:r w:rsidR="00290AA7" w:rsidRPr="00290AA7">
              <w:rPr>
                <w:rFonts w:ascii="Times New Roman" w:eastAsia="Times New Roman" w:hAnsi="Times New Roman" w:cs="Times New Roman"/>
                <w:sz w:val="22"/>
                <w:szCs w:val="22"/>
              </w:rPr>
              <w:t xml:space="preserve">briefly </w:t>
            </w:r>
            <w:r w:rsidR="00536B18" w:rsidRPr="00F02F61">
              <w:rPr>
                <w:rFonts w:ascii="Times New Roman" w:eastAsia="Times New Roman" w:hAnsi="Times New Roman" w:cs="Times New Roman"/>
                <w:sz w:val="22"/>
                <w:szCs w:val="22"/>
              </w:rPr>
              <w:t>summarized below:</w:t>
            </w:r>
          </w:p>
          <w:p w14:paraId="3495CF12" w14:textId="1DE5D46C" w:rsidR="008042AD" w:rsidRDefault="251FCA1C" w:rsidP="00536B1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i</w:t>
            </w:r>
            <w:r w:rsidR="26C49893" w:rsidRPr="51F8B297">
              <w:rPr>
                <w:rFonts w:ascii="Times New Roman" w:eastAsia="Times New Roman" w:hAnsi="Times New Roman" w:cs="Times New Roman"/>
                <w:sz w:val="22"/>
                <w:szCs w:val="22"/>
              </w:rPr>
              <w:t xml:space="preserve">ntegrate health issues in climate change </w:t>
            </w:r>
            <w:proofErr w:type="gramStart"/>
            <w:r w:rsidR="26C49893" w:rsidRPr="51F8B297">
              <w:rPr>
                <w:rFonts w:ascii="Times New Roman" w:eastAsia="Times New Roman" w:hAnsi="Times New Roman" w:cs="Times New Roman"/>
                <w:sz w:val="22"/>
                <w:szCs w:val="22"/>
              </w:rPr>
              <w:t>policies</w:t>
            </w:r>
            <w:r w:rsidRPr="51F8B297">
              <w:rPr>
                <w:rFonts w:ascii="Times New Roman" w:eastAsia="Times New Roman" w:hAnsi="Times New Roman" w:cs="Times New Roman"/>
                <w:sz w:val="22"/>
                <w:szCs w:val="22"/>
              </w:rPr>
              <w:t>;</w:t>
            </w:r>
            <w:proofErr w:type="gramEnd"/>
          </w:p>
          <w:p w14:paraId="03AC16E8" w14:textId="2EA2F9A6" w:rsidR="00115A8D" w:rsidRDefault="251FCA1C" w:rsidP="00536B1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strengthen resilience of health and environmental systems to climate change</w:t>
            </w:r>
            <w:r w:rsidR="571D778E" w:rsidRPr="51F8B297">
              <w:rPr>
                <w:rFonts w:ascii="Times New Roman" w:eastAsia="Times New Roman" w:hAnsi="Times New Roman" w:cs="Times New Roman"/>
                <w:sz w:val="22"/>
                <w:szCs w:val="22"/>
              </w:rPr>
              <w:t xml:space="preserve"> and extreme weather </w:t>
            </w:r>
            <w:proofErr w:type="gramStart"/>
            <w:r w:rsidR="571D778E" w:rsidRPr="51F8B297">
              <w:rPr>
                <w:rFonts w:ascii="Times New Roman" w:eastAsia="Times New Roman" w:hAnsi="Times New Roman" w:cs="Times New Roman"/>
                <w:sz w:val="22"/>
                <w:szCs w:val="22"/>
              </w:rPr>
              <w:t>events</w:t>
            </w:r>
            <w:r w:rsidRPr="51F8B297">
              <w:rPr>
                <w:rFonts w:ascii="Times New Roman" w:eastAsia="Times New Roman" w:hAnsi="Times New Roman" w:cs="Times New Roman"/>
                <w:sz w:val="22"/>
                <w:szCs w:val="22"/>
              </w:rPr>
              <w:t>;</w:t>
            </w:r>
            <w:proofErr w:type="gramEnd"/>
          </w:p>
          <w:p w14:paraId="2D43FCF3" w14:textId="0041D1FA" w:rsidR="00536B18" w:rsidRPr="00F02F61" w:rsidRDefault="5FB03845" w:rsidP="00536B1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foster knowledge</w:t>
            </w:r>
            <w:r w:rsidR="12C215CC" w:rsidRPr="51F8B297">
              <w:rPr>
                <w:rFonts w:ascii="Times New Roman" w:eastAsia="Times New Roman" w:hAnsi="Times New Roman" w:cs="Times New Roman"/>
                <w:sz w:val="22"/>
                <w:szCs w:val="22"/>
              </w:rPr>
              <w:t>, research</w:t>
            </w:r>
            <w:r w:rsidRPr="51F8B297">
              <w:rPr>
                <w:rFonts w:ascii="Times New Roman" w:eastAsia="Times New Roman" w:hAnsi="Times New Roman" w:cs="Times New Roman"/>
                <w:sz w:val="22"/>
                <w:szCs w:val="22"/>
              </w:rPr>
              <w:t xml:space="preserve"> and </w:t>
            </w:r>
            <w:r w:rsidR="12C215CC" w:rsidRPr="51F8B297">
              <w:rPr>
                <w:rFonts w:ascii="Times New Roman" w:eastAsia="Times New Roman" w:hAnsi="Times New Roman" w:cs="Times New Roman"/>
                <w:sz w:val="22"/>
                <w:szCs w:val="22"/>
              </w:rPr>
              <w:t xml:space="preserve">exchange of </w:t>
            </w:r>
            <w:r w:rsidRPr="51F8B297">
              <w:rPr>
                <w:rFonts w:ascii="Times New Roman" w:eastAsia="Times New Roman" w:hAnsi="Times New Roman" w:cs="Times New Roman"/>
                <w:sz w:val="22"/>
                <w:szCs w:val="22"/>
              </w:rPr>
              <w:t xml:space="preserve">best </w:t>
            </w:r>
            <w:proofErr w:type="gramStart"/>
            <w:r w:rsidRPr="51F8B297">
              <w:rPr>
                <w:rFonts w:ascii="Times New Roman" w:eastAsia="Times New Roman" w:hAnsi="Times New Roman" w:cs="Times New Roman"/>
                <w:sz w:val="22"/>
                <w:szCs w:val="22"/>
              </w:rPr>
              <w:t>practice;</w:t>
            </w:r>
            <w:proofErr w:type="gramEnd"/>
          </w:p>
          <w:p w14:paraId="07DE4A38" w14:textId="2578A508" w:rsidR="00536B18" w:rsidRPr="00F02F61" w:rsidRDefault="2D3B51F4" w:rsidP="00536B1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 xml:space="preserve">promote climate-resilient </w:t>
            </w:r>
            <w:r w:rsidR="2B1E1CA6" w:rsidRPr="51F8B297">
              <w:rPr>
                <w:rFonts w:ascii="Times New Roman" w:eastAsia="Times New Roman" w:hAnsi="Times New Roman" w:cs="Times New Roman"/>
                <w:sz w:val="22"/>
                <w:szCs w:val="22"/>
              </w:rPr>
              <w:t xml:space="preserve">and environmentally sustainable </w:t>
            </w:r>
            <w:r w:rsidRPr="51F8B297">
              <w:rPr>
                <w:rFonts w:ascii="Times New Roman" w:eastAsia="Times New Roman" w:hAnsi="Times New Roman" w:cs="Times New Roman"/>
                <w:sz w:val="22"/>
                <w:szCs w:val="22"/>
              </w:rPr>
              <w:t xml:space="preserve">health </w:t>
            </w:r>
            <w:proofErr w:type="gramStart"/>
            <w:r w:rsidR="2B1E1CA6" w:rsidRPr="51F8B297">
              <w:rPr>
                <w:rFonts w:ascii="Times New Roman" w:eastAsia="Times New Roman" w:hAnsi="Times New Roman" w:cs="Times New Roman"/>
                <w:sz w:val="22"/>
                <w:szCs w:val="22"/>
              </w:rPr>
              <w:t>systems</w:t>
            </w:r>
            <w:r w:rsidR="5FB03845" w:rsidRPr="51F8B297">
              <w:rPr>
                <w:rFonts w:ascii="Times New Roman" w:eastAsia="Times New Roman" w:hAnsi="Times New Roman" w:cs="Times New Roman"/>
                <w:sz w:val="22"/>
                <w:szCs w:val="22"/>
              </w:rPr>
              <w:t>;</w:t>
            </w:r>
            <w:proofErr w:type="gramEnd"/>
          </w:p>
          <w:p w14:paraId="08D952F0" w14:textId="7FFF000C" w:rsidR="0072443E" w:rsidRPr="00174A58" w:rsidRDefault="5FB03845" w:rsidP="00174A58">
            <w:pPr>
              <w:pStyle w:val="ListParagraph"/>
              <w:numPr>
                <w:ilvl w:val="0"/>
                <w:numId w:val="25"/>
              </w:numPr>
              <w:spacing w:before="80" w:after="80" w:line="259" w:lineRule="auto"/>
              <w:jc w:val="both"/>
              <w:textAlignment w:val="baseline"/>
              <w:rPr>
                <w:rFonts w:ascii="Times New Roman" w:eastAsia="Times New Roman" w:hAnsi="Times New Roman" w:cs="Times New Roman"/>
                <w:sz w:val="22"/>
                <w:szCs w:val="22"/>
              </w:rPr>
            </w:pPr>
            <w:r w:rsidRPr="51F8B297">
              <w:rPr>
                <w:rFonts w:ascii="Times New Roman" w:eastAsia="Times New Roman" w:hAnsi="Times New Roman" w:cs="Times New Roman"/>
                <w:sz w:val="22"/>
                <w:szCs w:val="22"/>
              </w:rPr>
              <w:t xml:space="preserve">raise awareness </w:t>
            </w:r>
            <w:r w:rsidR="38DB149F" w:rsidRPr="51F8B297">
              <w:rPr>
                <w:rFonts w:ascii="Times New Roman" w:eastAsia="Times New Roman" w:hAnsi="Times New Roman" w:cs="Times New Roman"/>
                <w:sz w:val="22"/>
                <w:szCs w:val="22"/>
              </w:rPr>
              <w:t xml:space="preserve">and improve education </w:t>
            </w:r>
            <w:r w:rsidRPr="51F8B297">
              <w:rPr>
                <w:rFonts w:ascii="Times New Roman" w:eastAsia="Times New Roman" w:hAnsi="Times New Roman" w:cs="Times New Roman"/>
                <w:sz w:val="22"/>
                <w:szCs w:val="22"/>
              </w:rPr>
              <w:t xml:space="preserve">on </w:t>
            </w:r>
            <w:r w:rsidR="7DE4263E" w:rsidRPr="51F8B297">
              <w:rPr>
                <w:rFonts w:ascii="Times New Roman" w:eastAsia="Times New Roman" w:hAnsi="Times New Roman" w:cs="Times New Roman"/>
                <w:sz w:val="22"/>
                <w:szCs w:val="22"/>
              </w:rPr>
              <w:t>climate change</w:t>
            </w:r>
            <w:r w:rsidRPr="51F8B297">
              <w:rPr>
                <w:rFonts w:ascii="Times New Roman" w:eastAsia="Times New Roman" w:hAnsi="Times New Roman" w:cs="Times New Roman"/>
                <w:sz w:val="22"/>
                <w:szCs w:val="22"/>
              </w:rPr>
              <w:t xml:space="preserve"> and health</w:t>
            </w:r>
            <w:r w:rsidR="7DE4263E" w:rsidRPr="51F8B297">
              <w:rPr>
                <w:rFonts w:ascii="Times New Roman" w:eastAsia="Times New Roman" w:hAnsi="Times New Roman" w:cs="Times New Roman"/>
                <w:sz w:val="22"/>
                <w:szCs w:val="22"/>
              </w:rPr>
              <w:t>.</w:t>
            </w:r>
          </w:p>
        </w:tc>
      </w:tr>
      <w:tr w:rsidR="00B272EB" w:rsidRPr="006C40FF" w14:paraId="208B0ED8" w14:textId="77777777" w:rsidTr="004E0F88">
        <w:trPr>
          <w:trHeight w:val="300"/>
        </w:trPr>
        <w:tc>
          <w:tcPr>
            <w:tcW w:w="1635" w:type="dxa"/>
            <w:shd w:val="clear" w:color="auto" w:fill="DEEAF6" w:themeFill="accent1" w:themeFillTint="33"/>
          </w:tcPr>
          <w:p w14:paraId="168B821B" w14:textId="47962317" w:rsidR="00B272EB" w:rsidRPr="37589110" w:rsidRDefault="00B272EB">
            <w:pPr>
              <w:spacing w:before="80" w:after="80" w:line="259" w:lineRule="auto"/>
              <w:jc w:val="both"/>
              <w:textAlignment w:val="baseline"/>
              <w:rPr>
                <w:rFonts w:ascii="Times New Roman" w:eastAsia="Times New Roman" w:hAnsi="Times New Roman" w:cs="Times New Roman"/>
                <w:b/>
                <w:bCs/>
                <w:sz w:val="22"/>
                <w:szCs w:val="22"/>
              </w:rPr>
            </w:pPr>
            <w:r w:rsidRPr="37589110">
              <w:rPr>
                <w:rFonts w:ascii="Times New Roman" w:eastAsia="Times New Roman" w:hAnsi="Times New Roman" w:cs="Times New Roman"/>
                <w:b/>
                <w:bCs/>
                <w:sz w:val="22"/>
                <w:szCs w:val="22"/>
              </w:rPr>
              <w:t>Participants</w:t>
            </w:r>
          </w:p>
        </w:tc>
        <w:tc>
          <w:tcPr>
            <w:tcW w:w="7695" w:type="dxa"/>
          </w:tcPr>
          <w:p w14:paraId="010B10AB" w14:textId="6923A3F1" w:rsidR="00B272EB" w:rsidRPr="00F02F61" w:rsidRDefault="00B272EB" w:rsidP="00CB1951">
            <w:pPr>
              <w:spacing w:before="80" w:after="80" w:line="259"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HIC members</w:t>
            </w:r>
            <w:r w:rsidRPr="00EE2B65">
              <w:rPr>
                <w:rFonts w:ascii="Times New Roman" w:eastAsia="Times New Roman" w:hAnsi="Times New Roman" w:cs="Times New Roman"/>
                <w:sz w:val="22"/>
                <w:szCs w:val="22"/>
              </w:rPr>
              <w:t xml:space="preserve"> with the EHP Secretariat</w:t>
            </w:r>
            <w:r>
              <w:rPr>
                <w:rFonts w:ascii="Times New Roman" w:eastAsia="Times New Roman" w:hAnsi="Times New Roman" w:cs="Times New Roman"/>
                <w:sz w:val="22"/>
                <w:szCs w:val="22"/>
              </w:rPr>
              <w:t>.</w:t>
            </w:r>
          </w:p>
        </w:tc>
      </w:tr>
      <w:tr w:rsidR="00C34914" w:rsidRPr="006C40FF" w14:paraId="445E6278" w14:textId="77777777" w:rsidTr="004E0F88">
        <w:trPr>
          <w:trHeight w:val="300"/>
        </w:trPr>
        <w:tc>
          <w:tcPr>
            <w:tcW w:w="1635" w:type="dxa"/>
            <w:shd w:val="clear" w:color="auto" w:fill="DEEAF6" w:themeFill="accent1" w:themeFillTint="33"/>
          </w:tcPr>
          <w:p w14:paraId="56B60390" w14:textId="15C511D8" w:rsidR="00C34914" w:rsidRPr="37589110" w:rsidRDefault="00C34914">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Language</w:t>
            </w:r>
          </w:p>
        </w:tc>
        <w:tc>
          <w:tcPr>
            <w:tcW w:w="7695" w:type="dxa"/>
          </w:tcPr>
          <w:p w14:paraId="1FB380BC" w14:textId="62F09858" w:rsidR="00C34914" w:rsidRDefault="00C34914" w:rsidP="00CB1951">
            <w:pPr>
              <w:spacing w:before="80" w:after="80" w:line="259" w:lineRule="auto"/>
              <w:jc w:val="both"/>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English with simultaneous interpretation into Russian.</w:t>
            </w:r>
          </w:p>
        </w:tc>
      </w:tr>
      <w:tr w:rsidR="00626D28" w:rsidRPr="006C40FF" w14:paraId="1108B835" w14:textId="77777777" w:rsidTr="00CF67FD">
        <w:trPr>
          <w:trHeight w:val="300"/>
        </w:trPr>
        <w:tc>
          <w:tcPr>
            <w:tcW w:w="1635" w:type="dxa"/>
            <w:shd w:val="clear" w:color="auto" w:fill="DEEAF6" w:themeFill="accent1" w:themeFillTint="33"/>
          </w:tcPr>
          <w:p w14:paraId="717738D7" w14:textId="0DCBF5CD" w:rsidR="00626D28" w:rsidRPr="37589110" w:rsidRDefault="00626D28" w:rsidP="00626D28">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Venue</w:t>
            </w:r>
          </w:p>
        </w:tc>
        <w:tc>
          <w:tcPr>
            <w:tcW w:w="7695" w:type="dxa"/>
          </w:tcPr>
          <w:p w14:paraId="05CC7DF4" w14:textId="6A6500D6" w:rsidR="00626D28" w:rsidRDefault="00564D7D" w:rsidP="002A4C23">
            <w:pPr>
              <w:spacing w:before="80" w:after="80" w:line="259" w:lineRule="auto"/>
              <w:jc w:val="both"/>
              <w:textAlignment w:val="baseline"/>
              <w:rPr>
                <w:rFonts w:ascii="Times New Roman" w:eastAsia="Times New Roman" w:hAnsi="Times New Roman" w:cs="Times New Roman"/>
                <w:sz w:val="22"/>
                <w:szCs w:val="22"/>
              </w:rPr>
            </w:pPr>
            <w:r w:rsidRPr="00564D7D">
              <w:rPr>
                <w:rFonts w:ascii="Times New Roman" w:eastAsia="Times New Roman" w:hAnsi="Times New Roman" w:cs="Times New Roman"/>
                <w:sz w:val="22"/>
                <w:szCs w:val="22"/>
              </w:rPr>
              <w:t xml:space="preserve">Considering that most HIC members are also EHTF members, it would be </w:t>
            </w:r>
            <w:r w:rsidR="00AE525F">
              <w:rPr>
                <w:rFonts w:ascii="Times New Roman" w:eastAsia="Times New Roman" w:hAnsi="Times New Roman" w:cs="Times New Roman"/>
                <w:sz w:val="22"/>
                <w:szCs w:val="22"/>
              </w:rPr>
              <w:t>sensible</w:t>
            </w:r>
            <w:r w:rsidRPr="00564D7D">
              <w:rPr>
                <w:rFonts w:ascii="Times New Roman" w:eastAsia="Times New Roman" w:hAnsi="Times New Roman" w:cs="Times New Roman"/>
                <w:sz w:val="22"/>
                <w:szCs w:val="22"/>
              </w:rPr>
              <w:t xml:space="preserve"> to coordinate resource mobilization efforts by scheduling HIC meetings alongside EHTF meetings</w:t>
            </w:r>
            <w:r w:rsidR="00AD0A69">
              <w:rPr>
                <w:rFonts w:ascii="Times New Roman" w:eastAsia="Times New Roman" w:hAnsi="Times New Roman" w:cs="Times New Roman"/>
                <w:sz w:val="22"/>
                <w:szCs w:val="22"/>
              </w:rPr>
              <w:t>.</w:t>
            </w:r>
            <w:r w:rsidR="00552FDB">
              <w:rPr>
                <w:rFonts w:ascii="Times New Roman" w:eastAsia="Times New Roman" w:hAnsi="Times New Roman" w:cs="Times New Roman"/>
                <w:sz w:val="22"/>
                <w:szCs w:val="22"/>
              </w:rPr>
              <w:t xml:space="preserve"> </w:t>
            </w:r>
            <w:r w:rsidR="00AD0A69">
              <w:rPr>
                <w:rFonts w:ascii="Times New Roman" w:eastAsia="Times New Roman" w:hAnsi="Times New Roman" w:cs="Times New Roman"/>
                <w:sz w:val="22"/>
                <w:szCs w:val="22"/>
              </w:rPr>
              <w:t>H</w:t>
            </w:r>
            <w:r w:rsidR="002A4C23">
              <w:rPr>
                <w:rFonts w:ascii="Times New Roman" w:eastAsia="Times New Roman" w:hAnsi="Times New Roman" w:cs="Times New Roman"/>
                <w:sz w:val="22"/>
                <w:szCs w:val="22"/>
              </w:rPr>
              <w:t>owever, t</w:t>
            </w:r>
            <w:r w:rsidR="002A4C23" w:rsidRPr="002A4C23">
              <w:rPr>
                <w:rFonts w:ascii="Times New Roman" w:eastAsia="Times New Roman" w:hAnsi="Times New Roman" w:cs="Times New Roman"/>
                <w:sz w:val="22"/>
                <w:szCs w:val="22"/>
              </w:rPr>
              <w:t>his approach is not obligatory, and HIC members have the flexibility to host the meeting independently.</w:t>
            </w:r>
          </w:p>
        </w:tc>
      </w:tr>
      <w:tr w:rsidR="00626D28" w:rsidRPr="006C40FF" w14:paraId="2BF41A8B" w14:textId="77777777" w:rsidTr="004E0F88">
        <w:trPr>
          <w:trHeight w:val="675"/>
        </w:trPr>
        <w:tc>
          <w:tcPr>
            <w:tcW w:w="1635" w:type="dxa"/>
            <w:shd w:val="clear" w:color="auto" w:fill="DEEAF6" w:themeFill="accent1" w:themeFillTint="33"/>
            <w:hideMark/>
          </w:tcPr>
          <w:p w14:paraId="7762D34B" w14:textId="77777777" w:rsidR="00626D28" w:rsidRPr="006C40FF" w:rsidRDefault="00626D28" w:rsidP="00626D28">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Resources needed</w:t>
            </w:r>
          </w:p>
        </w:tc>
        <w:tc>
          <w:tcPr>
            <w:tcW w:w="7695" w:type="dxa"/>
          </w:tcPr>
          <w:p w14:paraId="2550E87F" w14:textId="3E0FD7B5" w:rsidR="00626D28" w:rsidRPr="006C40FF" w:rsidRDefault="00626D28" w:rsidP="00626D28">
            <w:pPr>
              <w:spacing w:before="80" w:after="80" w:line="259" w:lineRule="auto"/>
              <w:jc w:val="both"/>
              <w:textAlignment w:val="baseline"/>
              <w:rPr>
                <w:rFonts w:ascii="Times New Roman" w:eastAsia="Times New Roman" w:hAnsi="Times New Roman" w:cs="Times New Roman"/>
                <w:sz w:val="22"/>
                <w:szCs w:val="22"/>
              </w:rPr>
            </w:pPr>
            <w:r w:rsidRPr="00FD5D5E">
              <w:rPr>
                <w:rFonts w:ascii="Times New Roman" w:eastAsia="Times New Roman" w:hAnsi="Times New Roman" w:cs="Times New Roman"/>
                <w:sz w:val="22"/>
                <w:szCs w:val="22"/>
              </w:rPr>
              <w:t xml:space="preserve">Costs to hold two </w:t>
            </w:r>
            <w:proofErr w:type="gramStart"/>
            <w:r w:rsidRPr="00FD5D5E">
              <w:rPr>
                <w:rFonts w:ascii="Times New Roman" w:eastAsia="Times New Roman" w:hAnsi="Times New Roman" w:cs="Times New Roman"/>
                <w:sz w:val="22"/>
                <w:szCs w:val="22"/>
              </w:rPr>
              <w:t>physical</w:t>
            </w:r>
            <w:proofErr w:type="gramEnd"/>
            <w:r w:rsidRPr="00FD5D5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HIC</w:t>
            </w:r>
            <w:r w:rsidRPr="00FD5D5E">
              <w:rPr>
                <w:rFonts w:ascii="Times New Roman" w:eastAsia="Times New Roman" w:hAnsi="Times New Roman" w:cs="Times New Roman"/>
                <w:sz w:val="22"/>
                <w:szCs w:val="22"/>
              </w:rPr>
              <w:t xml:space="preserve"> meetings in 2024/2025 are estimated in ca </w:t>
            </w:r>
            <w:r w:rsidR="00FE2AEC">
              <w:rPr>
                <w:rFonts w:ascii="Times New Roman" w:eastAsia="Times New Roman" w:hAnsi="Times New Roman" w:cs="Times New Roman"/>
                <w:sz w:val="22"/>
                <w:szCs w:val="22"/>
              </w:rPr>
              <w:t>1</w:t>
            </w:r>
            <w:r w:rsidR="00FE2AEC" w:rsidRPr="00FE2AEC">
              <w:rPr>
                <w:rFonts w:ascii="Times New Roman" w:eastAsia="Times New Roman" w:hAnsi="Times New Roman" w:cs="Times New Roman"/>
                <w:sz w:val="22"/>
                <w:szCs w:val="22"/>
              </w:rPr>
              <w:t>00,000 – 140,000 USD (i.e. 50,000 – 70,000 USD each)</w:t>
            </w:r>
            <w:r w:rsidRPr="00FD5D5E">
              <w:rPr>
                <w:rFonts w:ascii="Times New Roman" w:eastAsia="Times New Roman" w:hAnsi="Times New Roman" w:cs="Times New Roman"/>
                <w:sz w:val="22"/>
                <w:szCs w:val="22"/>
              </w:rPr>
              <w:t>. Resource mobilization efforts are needed to identify hosts and funds.</w:t>
            </w:r>
          </w:p>
        </w:tc>
      </w:tr>
    </w:tbl>
    <w:p w14:paraId="02130B50" w14:textId="24E2F1EE" w:rsidR="00DC2D59" w:rsidRPr="009333E3" w:rsidRDefault="00E75403" w:rsidP="00DE38B7">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The Working Group on Collaboration of Local and Subnational Authorities (</w:t>
      </w:r>
      <w:proofErr w:type="spellStart"/>
      <w:r w:rsidRPr="51F8B297">
        <w:rPr>
          <w:rFonts w:ascii="Times New Roman" w:hAnsi="Times New Roman" w:cs="Times New Roman"/>
          <w:sz w:val="24"/>
          <w:szCs w:val="24"/>
          <w:lang w:val="en-GB"/>
        </w:rPr>
        <w:t>CoLSA</w:t>
      </w:r>
      <w:proofErr w:type="spellEnd"/>
      <w:r w:rsidRPr="51F8B297">
        <w:rPr>
          <w:rFonts w:ascii="Times New Roman" w:hAnsi="Times New Roman" w:cs="Times New Roman"/>
          <w:sz w:val="24"/>
          <w:szCs w:val="24"/>
          <w:lang w:val="en-GB"/>
        </w:rPr>
        <w:t xml:space="preserve">), established </w:t>
      </w:r>
      <w:r w:rsidR="00801375" w:rsidRPr="51F8B297">
        <w:rPr>
          <w:rFonts w:ascii="Times New Roman" w:hAnsi="Times New Roman" w:cs="Times New Roman"/>
          <w:sz w:val="24"/>
          <w:szCs w:val="24"/>
          <w:lang w:val="en-GB"/>
        </w:rPr>
        <w:t>by the Sixth Ministerial Conference on Environment and Health, held in Ostrava in 2017, has worked in the past biennium with the objective to highlight opportunities and challe</w:t>
      </w:r>
      <w:r w:rsidR="00DD4BCA" w:rsidRPr="51F8B297">
        <w:rPr>
          <w:rFonts w:ascii="Times New Roman" w:hAnsi="Times New Roman" w:cs="Times New Roman"/>
          <w:sz w:val="24"/>
          <w:szCs w:val="24"/>
          <w:lang w:val="en-GB"/>
        </w:rPr>
        <w:t>nges of policy coordination at different levels of decision-making. Member States in Budapest suggested that this work can be continued in a different format, possibly in the form of an EHP Partnership (</w:t>
      </w:r>
      <w:r w:rsidR="008F5418" w:rsidRPr="51F8B297">
        <w:rPr>
          <w:rFonts w:ascii="Times New Roman" w:hAnsi="Times New Roman" w:cs="Times New Roman"/>
          <w:i/>
          <w:iCs/>
          <w:sz w:val="24"/>
          <w:szCs w:val="24"/>
          <w:lang w:val="en-GB"/>
        </w:rPr>
        <w:t>ref. Annex 1 of the Declaration, para. 70</w:t>
      </w:r>
      <w:r w:rsidR="008F5418" w:rsidRPr="51F8B297">
        <w:rPr>
          <w:rFonts w:ascii="Times New Roman" w:hAnsi="Times New Roman" w:cs="Times New Roman"/>
          <w:sz w:val="24"/>
          <w:szCs w:val="24"/>
          <w:lang w:val="en-GB"/>
        </w:rPr>
        <w:t>).</w:t>
      </w:r>
    </w:p>
    <w:p w14:paraId="239E39D0" w14:textId="1CB24A9A" w:rsidR="00820333" w:rsidRDefault="00820333" w:rsidP="37589110">
      <w:pPr>
        <w:pStyle w:val="Heading1"/>
        <w:rPr>
          <w:lang w:val="en-GB"/>
        </w:rPr>
      </w:pPr>
      <w:bookmarkStart w:id="7" w:name="_Toc164096698"/>
      <w:r w:rsidRPr="51F8B297">
        <w:rPr>
          <w:lang w:val="en-GB"/>
        </w:rPr>
        <w:t xml:space="preserve">3. </w:t>
      </w:r>
      <w:r w:rsidR="00414A53" w:rsidRPr="51F8B297">
        <w:rPr>
          <w:lang w:val="en-GB"/>
        </w:rPr>
        <w:t>The Bonn Dialogues on Environment and Health</w:t>
      </w:r>
      <w:bookmarkEnd w:id="5"/>
      <w:bookmarkEnd w:id="7"/>
    </w:p>
    <w:p w14:paraId="58B60754" w14:textId="6295C1D4" w:rsidR="00B7516A" w:rsidRPr="00E608A8" w:rsidRDefault="00341591" w:rsidP="00B75093">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The B</w:t>
      </w:r>
      <w:r w:rsidR="3D2BB653" w:rsidRPr="4B8EF570">
        <w:rPr>
          <w:rFonts w:ascii="Times New Roman" w:hAnsi="Times New Roman" w:cs="Times New Roman"/>
          <w:sz w:val="24"/>
          <w:szCs w:val="24"/>
          <w:lang w:val="en-GB"/>
        </w:rPr>
        <w:t>onn</w:t>
      </w:r>
      <w:r>
        <w:rPr>
          <w:rFonts w:ascii="Times New Roman" w:hAnsi="Times New Roman" w:cs="Times New Roman"/>
          <w:sz w:val="24"/>
          <w:szCs w:val="24"/>
          <w:lang w:val="en-GB"/>
        </w:rPr>
        <w:t xml:space="preserve"> </w:t>
      </w:r>
      <w:r w:rsidR="00496F33">
        <w:rPr>
          <w:rFonts w:ascii="Times New Roman" w:hAnsi="Times New Roman" w:cs="Times New Roman"/>
          <w:sz w:val="24"/>
          <w:szCs w:val="24"/>
          <w:lang w:val="en-GB"/>
        </w:rPr>
        <w:t xml:space="preserve">Dialogues were originally </w:t>
      </w:r>
      <w:r w:rsidR="00820827">
        <w:rPr>
          <w:rFonts w:ascii="Times New Roman" w:hAnsi="Times New Roman" w:cs="Times New Roman"/>
          <w:sz w:val="24"/>
          <w:szCs w:val="24"/>
          <w:lang w:val="en-GB"/>
        </w:rPr>
        <w:t>established to support the preparations of</w:t>
      </w:r>
      <w:r w:rsidR="00285614">
        <w:rPr>
          <w:rFonts w:ascii="Times New Roman" w:hAnsi="Times New Roman" w:cs="Times New Roman"/>
          <w:sz w:val="24"/>
          <w:szCs w:val="24"/>
          <w:lang w:val="en-GB"/>
        </w:rPr>
        <w:t xml:space="preserve"> the Budapest Conference, provid</w:t>
      </w:r>
      <w:r w:rsidR="00820827">
        <w:rPr>
          <w:rFonts w:ascii="Times New Roman" w:hAnsi="Times New Roman" w:cs="Times New Roman"/>
          <w:sz w:val="24"/>
          <w:szCs w:val="24"/>
          <w:lang w:val="en-GB"/>
        </w:rPr>
        <w:t>ing</w:t>
      </w:r>
      <w:r w:rsidR="00285614">
        <w:rPr>
          <w:rFonts w:ascii="Times New Roman" w:hAnsi="Times New Roman" w:cs="Times New Roman"/>
          <w:sz w:val="24"/>
          <w:szCs w:val="24"/>
          <w:lang w:val="en-GB"/>
        </w:rPr>
        <w:t xml:space="preserve"> an opportunity to focus on different themes and priorities </w:t>
      </w:r>
      <w:r w:rsidR="00C02285">
        <w:rPr>
          <w:rFonts w:ascii="Times New Roman" w:hAnsi="Times New Roman" w:cs="Times New Roman"/>
          <w:sz w:val="24"/>
          <w:szCs w:val="24"/>
          <w:lang w:val="en-GB"/>
        </w:rPr>
        <w:t>to be addressed by the Ministeria</w:t>
      </w:r>
      <w:r w:rsidR="004F7F77">
        <w:rPr>
          <w:rFonts w:ascii="Times New Roman" w:hAnsi="Times New Roman" w:cs="Times New Roman"/>
          <w:sz w:val="24"/>
          <w:szCs w:val="24"/>
          <w:lang w:val="en-GB"/>
        </w:rPr>
        <w:t>l</w:t>
      </w:r>
      <w:r w:rsidR="00C02285">
        <w:rPr>
          <w:rFonts w:ascii="Times New Roman" w:hAnsi="Times New Roman" w:cs="Times New Roman"/>
          <w:sz w:val="24"/>
          <w:szCs w:val="24"/>
          <w:lang w:val="en-GB"/>
        </w:rPr>
        <w:t xml:space="preserve"> Declaration. </w:t>
      </w:r>
      <w:r w:rsidR="00B7516A" w:rsidRPr="51F8B297">
        <w:rPr>
          <w:rFonts w:ascii="Times New Roman" w:hAnsi="Times New Roman" w:cs="Times New Roman"/>
          <w:sz w:val="24"/>
          <w:szCs w:val="24"/>
          <w:lang w:val="en-GB"/>
        </w:rPr>
        <w:t xml:space="preserve">The </w:t>
      </w:r>
      <w:r w:rsidR="003A49EF" w:rsidRPr="51F8B297">
        <w:rPr>
          <w:rFonts w:ascii="Times New Roman" w:hAnsi="Times New Roman" w:cs="Times New Roman"/>
          <w:sz w:val="24"/>
          <w:szCs w:val="24"/>
          <w:lang w:val="en-GB"/>
        </w:rPr>
        <w:t>continuation of the Bonn</w:t>
      </w:r>
      <w:r w:rsidR="00B7516A" w:rsidRPr="51F8B297">
        <w:rPr>
          <w:rFonts w:ascii="Times New Roman" w:hAnsi="Times New Roman" w:cs="Times New Roman"/>
          <w:sz w:val="24"/>
          <w:szCs w:val="24"/>
          <w:lang w:val="en-GB"/>
        </w:rPr>
        <w:t xml:space="preserve"> Dialogues </w:t>
      </w:r>
      <w:r w:rsidR="003A49EF" w:rsidRPr="51F8B297">
        <w:rPr>
          <w:rFonts w:ascii="Times New Roman" w:hAnsi="Times New Roman" w:cs="Times New Roman"/>
          <w:sz w:val="24"/>
          <w:szCs w:val="24"/>
          <w:lang w:val="en-GB"/>
        </w:rPr>
        <w:t xml:space="preserve">programme after the Budapest Conference will </w:t>
      </w:r>
      <w:r w:rsidR="00742246" w:rsidRPr="51F8B297">
        <w:rPr>
          <w:rFonts w:ascii="Times New Roman" w:hAnsi="Times New Roman" w:cs="Times New Roman"/>
          <w:sz w:val="24"/>
          <w:szCs w:val="24"/>
          <w:lang w:val="en-GB"/>
        </w:rPr>
        <w:t xml:space="preserve">assume a different connotation: they </w:t>
      </w:r>
      <w:r w:rsidR="00B7516A" w:rsidRPr="51F8B297">
        <w:rPr>
          <w:rFonts w:ascii="Times New Roman" w:hAnsi="Times New Roman" w:cs="Times New Roman"/>
          <w:sz w:val="24"/>
          <w:szCs w:val="24"/>
          <w:lang w:val="en-GB"/>
        </w:rPr>
        <w:t xml:space="preserve">could </w:t>
      </w:r>
      <w:r w:rsidR="0066729D">
        <w:rPr>
          <w:rFonts w:ascii="Times New Roman" w:hAnsi="Times New Roman" w:cs="Times New Roman"/>
          <w:sz w:val="24"/>
          <w:szCs w:val="24"/>
          <w:lang w:val="en-GB"/>
        </w:rPr>
        <w:t>contribute</w:t>
      </w:r>
      <w:r w:rsidR="00DA362F">
        <w:rPr>
          <w:rFonts w:ascii="Times New Roman" w:hAnsi="Times New Roman" w:cs="Times New Roman"/>
          <w:sz w:val="24"/>
          <w:szCs w:val="24"/>
          <w:lang w:val="en-GB"/>
        </w:rPr>
        <w:t xml:space="preserve"> </w:t>
      </w:r>
      <w:r w:rsidR="0066729D">
        <w:rPr>
          <w:rFonts w:ascii="Times New Roman" w:hAnsi="Times New Roman" w:cs="Times New Roman"/>
          <w:sz w:val="24"/>
          <w:szCs w:val="24"/>
          <w:lang w:val="en-GB"/>
        </w:rPr>
        <w:t>to</w:t>
      </w:r>
      <w:r w:rsidR="00B7516A" w:rsidRPr="51F8B297">
        <w:rPr>
          <w:rFonts w:ascii="Times New Roman" w:hAnsi="Times New Roman" w:cs="Times New Roman"/>
          <w:sz w:val="24"/>
          <w:szCs w:val="24"/>
          <w:lang w:val="en-GB"/>
        </w:rPr>
        <w:t xml:space="preserve"> </w:t>
      </w:r>
      <w:r w:rsidR="0084038C" w:rsidRPr="51F8B297">
        <w:rPr>
          <w:rFonts w:ascii="Times New Roman" w:hAnsi="Times New Roman" w:cs="Times New Roman"/>
          <w:sz w:val="24"/>
          <w:szCs w:val="24"/>
          <w:lang w:val="en-GB"/>
        </w:rPr>
        <w:t xml:space="preserve">accelerating </w:t>
      </w:r>
      <w:r w:rsidR="00B7516A" w:rsidRPr="51F8B297">
        <w:rPr>
          <w:rFonts w:ascii="Times New Roman" w:hAnsi="Times New Roman" w:cs="Times New Roman"/>
          <w:sz w:val="24"/>
          <w:szCs w:val="24"/>
          <w:lang w:val="en-GB"/>
        </w:rPr>
        <w:t>the implementation of the Budapest Declaration commitments</w:t>
      </w:r>
      <w:r w:rsidR="00742246" w:rsidRPr="51F8B297">
        <w:rPr>
          <w:rFonts w:ascii="Times New Roman" w:hAnsi="Times New Roman" w:cs="Times New Roman"/>
          <w:sz w:val="24"/>
          <w:szCs w:val="24"/>
          <w:lang w:val="en-GB"/>
        </w:rPr>
        <w:t>,</w:t>
      </w:r>
      <w:r w:rsidR="00B7516A" w:rsidRPr="51F8B297">
        <w:rPr>
          <w:rFonts w:ascii="Times New Roman" w:hAnsi="Times New Roman" w:cs="Times New Roman"/>
          <w:sz w:val="24"/>
          <w:szCs w:val="24"/>
          <w:lang w:val="en-GB"/>
        </w:rPr>
        <w:t xml:space="preserve"> by providing a platform for showcasing countries' commitments, exchanging knowledge and expertise, and </w:t>
      </w:r>
      <w:r w:rsidR="003C179B">
        <w:rPr>
          <w:rFonts w:ascii="Times New Roman" w:hAnsi="Times New Roman" w:cs="Times New Roman"/>
          <w:sz w:val="24"/>
          <w:szCs w:val="24"/>
          <w:lang w:val="en-GB"/>
        </w:rPr>
        <w:t>discussing</w:t>
      </w:r>
      <w:r w:rsidR="00B7516A" w:rsidRPr="51F8B297">
        <w:rPr>
          <w:rFonts w:ascii="Times New Roman" w:hAnsi="Times New Roman" w:cs="Times New Roman"/>
          <w:sz w:val="24"/>
          <w:szCs w:val="24"/>
          <w:lang w:val="en-GB"/>
        </w:rPr>
        <w:t xml:space="preserve"> concrete </w:t>
      </w:r>
      <w:r w:rsidR="00ED2924">
        <w:rPr>
          <w:rFonts w:ascii="Times New Roman" w:hAnsi="Times New Roman" w:cs="Times New Roman"/>
          <w:sz w:val="24"/>
          <w:szCs w:val="24"/>
          <w:lang w:val="en-GB"/>
        </w:rPr>
        <w:t xml:space="preserve">challenges, </w:t>
      </w:r>
      <w:proofErr w:type="gramStart"/>
      <w:r w:rsidR="00ED2924">
        <w:rPr>
          <w:rFonts w:ascii="Times New Roman" w:hAnsi="Times New Roman" w:cs="Times New Roman"/>
          <w:sz w:val="24"/>
          <w:szCs w:val="24"/>
          <w:lang w:val="en-GB"/>
        </w:rPr>
        <w:t>achievements</w:t>
      </w:r>
      <w:proofErr w:type="gramEnd"/>
      <w:r w:rsidR="00ED2924">
        <w:rPr>
          <w:rFonts w:ascii="Times New Roman" w:hAnsi="Times New Roman" w:cs="Times New Roman"/>
          <w:sz w:val="24"/>
          <w:szCs w:val="24"/>
          <w:lang w:val="en-GB"/>
        </w:rPr>
        <w:t xml:space="preserve"> and</w:t>
      </w:r>
      <w:r w:rsidR="00B7516A" w:rsidRPr="51F8B297">
        <w:rPr>
          <w:rFonts w:ascii="Times New Roman" w:hAnsi="Times New Roman" w:cs="Times New Roman"/>
          <w:sz w:val="24"/>
          <w:szCs w:val="24"/>
          <w:lang w:val="en-GB"/>
        </w:rPr>
        <w:t xml:space="preserve"> initiatives</w:t>
      </w:r>
      <w:r w:rsidR="00B56837">
        <w:rPr>
          <w:rFonts w:ascii="Times New Roman" w:hAnsi="Times New Roman" w:cs="Times New Roman"/>
          <w:sz w:val="24"/>
          <w:szCs w:val="24"/>
          <w:lang w:val="en-GB"/>
        </w:rPr>
        <w:t>.</w:t>
      </w:r>
    </w:p>
    <w:p w14:paraId="4D93D33A" w14:textId="7791761A" w:rsidR="002A2519" w:rsidRDefault="00B7516A"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The </w:t>
      </w:r>
      <w:r w:rsidR="00A977FB">
        <w:rPr>
          <w:rFonts w:ascii="Times New Roman" w:hAnsi="Times New Roman" w:cs="Times New Roman"/>
          <w:sz w:val="24"/>
          <w:szCs w:val="24"/>
          <w:lang w:val="en-GB"/>
        </w:rPr>
        <w:t xml:space="preserve">selection </w:t>
      </w:r>
      <w:r w:rsidRPr="51F8B297">
        <w:rPr>
          <w:rFonts w:ascii="Times New Roman" w:hAnsi="Times New Roman" w:cs="Times New Roman"/>
          <w:sz w:val="24"/>
          <w:szCs w:val="24"/>
          <w:lang w:val="en-GB"/>
        </w:rPr>
        <w:t xml:space="preserve">of </w:t>
      </w:r>
      <w:r w:rsidR="00101385">
        <w:rPr>
          <w:rFonts w:ascii="Times New Roman" w:hAnsi="Times New Roman" w:cs="Times New Roman"/>
          <w:sz w:val="24"/>
          <w:szCs w:val="24"/>
          <w:lang w:val="en-GB"/>
        </w:rPr>
        <w:t xml:space="preserve">discussion </w:t>
      </w:r>
      <w:r w:rsidRPr="51F8B297">
        <w:rPr>
          <w:rFonts w:ascii="Times New Roman" w:hAnsi="Times New Roman" w:cs="Times New Roman"/>
          <w:sz w:val="24"/>
          <w:szCs w:val="24"/>
          <w:lang w:val="en-GB"/>
        </w:rPr>
        <w:t xml:space="preserve">topics </w:t>
      </w:r>
      <w:r w:rsidR="002E6D78">
        <w:rPr>
          <w:rFonts w:ascii="Times New Roman" w:hAnsi="Times New Roman" w:cs="Times New Roman"/>
          <w:sz w:val="24"/>
          <w:szCs w:val="24"/>
          <w:lang w:val="en-GB"/>
        </w:rPr>
        <w:t xml:space="preserve">for the Bonn Dialogues </w:t>
      </w:r>
      <w:r w:rsidR="00AB7BC1">
        <w:rPr>
          <w:rFonts w:ascii="Times New Roman" w:hAnsi="Times New Roman" w:cs="Times New Roman"/>
          <w:sz w:val="24"/>
          <w:szCs w:val="24"/>
          <w:lang w:val="en-GB"/>
        </w:rPr>
        <w:t>will be strategically</w:t>
      </w:r>
      <w:r w:rsidRPr="51F8B297">
        <w:rPr>
          <w:rFonts w:ascii="Times New Roman" w:hAnsi="Times New Roman" w:cs="Times New Roman"/>
          <w:sz w:val="24"/>
          <w:szCs w:val="24"/>
          <w:lang w:val="en-GB"/>
        </w:rPr>
        <w:t xml:space="preserve"> </w:t>
      </w:r>
      <w:r w:rsidR="001819A9">
        <w:rPr>
          <w:rFonts w:ascii="Times New Roman" w:hAnsi="Times New Roman" w:cs="Times New Roman"/>
          <w:sz w:val="24"/>
          <w:szCs w:val="24"/>
          <w:lang w:val="en-GB"/>
        </w:rPr>
        <w:t>align</w:t>
      </w:r>
      <w:r w:rsidR="00883686">
        <w:rPr>
          <w:rFonts w:ascii="Times New Roman" w:hAnsi="Times New Roman" w:cs="Times New Roman"/>
          <w:sz w:val="24"/>
          <w:szCs w:val="24"/>
          <w:lang w:val="en-GB"/>
        </w:rPr>
        <w:t>ed</w:t>
      </w:r>
      <w:r w:rsidR="001819A9">
        <w:rPr>
          <w:rFonts w:ascii="Times New Roman" w:hAnsi="Times New Roman" w:cs="Times New Roman"/>
          <w:sz w:val="24"/>
          <w:szCs w:val="24"/>
          <w:lang w:val="en-GB"/>
        </w:rPr>
        <w:t xml:space="preserve"> with</w:t>
      </w:r>
      <w:r w:rsidRPr="51F8B297">
        <w:rPr>
          <w:rFonts w:ascii="Times New Roman" w:hAnsi="Times New Roman" w:cs="Times New Roman"/>
          <w:sz w:val="24"/>
          <w:szCs w:val="24"/>
          <w:lang w:val="en-GB"/>
        </w:rPr>
        <w:t xml:space="preserve"> the </w:t>
      </w:r>
      <w:r w:rsidR="005D2556" w:rsidRPr="51F8B297">
        <w:rPr>
          <w:rFonts w:ascii="Times New Roman" w:hAnsi="Times New Roman" w:cs="Times New Roman"/>
          <w:sz w:val="24"/>
          <w:szCs w:val="24"/>
          <w:lang w:val="en-GB"/>
        </w:rPr>
        <w:t xml:space="preserve">“triple crisis” </w:t>
      </w:r>
      <w:r w:rsidR="00C80CAA" w:rsidRPr="51F8B297">
        <w:rPr>
          <w:rFonts w:ascii="Times New Roman" w:hAnsi="Times New Roman" w:cs="Times New Roman"/>
          <w:sz w:val="24"/>
          <w:szCs w:val="24"/>
          <w:lang w:val="en-GB"/>
        </w:rPr>
        <w:t xml:space="preserve">framework </w:t>
      </w:r>
      <w:r w:rsidR="00902A99">
        <w:rPr>
          <w:rFonts w:ascii="Times New Roman" w:hAnsi="Times New Roman" w:cs="Times New Roman"/>
          <w:sz w:val="24"/>
          <w:szCs w:val="24"/>
          <w:lang w:val="en-GB"/>
        </w:rPr>
        <w:t>and its</w:t>
      </w:r>
      <w:r w:rsidR="00902A99" w:rsidRPr="51F8B297">
        <w:rPr>
          <w:rFonts w:ascii="Times New Roman" w:hAnsi="Times New Roman" w:cs="Times New Roman"/>
          <w:sz w:val="24"/>
          <w:szCs w:val="24"/>
          <w:lang w:val="en-GB"/>
        </w:rPr>
        <w:t xml:space="preserve"> Roadmap</w:t>
      </w:r>
      <w:r w:rsidR="00902A99">
        <w:rPr>
          <w:rFonts w:ascii="Times New Roman" w:hAnsi="Times New Roman" w:cs="Times New Roman"/>
          <w:sz w:val="24"/>
          <w:szCs w:val="24"/>
          <w:lang w:val="en-GB"/>
        </w:rPr>
        <w:t>, as</w:t>
      </w:r>
      <w:r w:rsidR="00902A99" w:rsidRPr="51F8B297">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outlined in the Budapest Declaration</w:t>
      </w:r>
      <w:r w:rsidR="00504C17">
        <w:rPr>
          <w:rFonts w:ascii="Times New Roman" w:hAnsi="Times New Roman" w:cs="Times New Roman"/>
          <w:sz w:val="24"/>
          <w:szCs w:val="24"/>
          <w:lang w:val="en-GB"/>
        </w:rPr>
        <w:t xml:space="preserve">, </w:t>
      </w:r>
      <w:r w:rsidR="0014685D" w:rsidRPr="0014685D">
        <w:rPr>
          <w:rFonts w:ascii="Times New Roman" w:hAnsi="Times New Roman" w:cs="Times New Roman"/>
          <w:sz w:val="24"/>
          <w:szCs w:val="24"/>
          <w:lang w:val="en-GB"/>
        </w:rPr>
        <w:t xml:space="preserve">as well as </w:t>
      </w:r>
      <w:r w:rsidR="00E84A63">
        <w:rPr>
          <w:rFonts w:ascii="Times New Roman" w:hAnsi="Times New Roman" w:cs="Times New Roman"/>
          <w:sz w:val="24"/>
          <w:szCs w:val="24"/>
          <w:lang w:val="en-GB"/>
        </w:rPr>
        <w:t>with</w:t>
      </w:r>
      <w:r w:rsidR="0014685D" w:rsidRPr="0014685D">
        <w:rPr>
          <w:rFonts w:ascii="Times New Roman" w:hAnsi="Times New Roman" w:cs="Times New Roman"/>
          <w:sz w:val="24"/>
          <w:szCs w:val="24"/>
          <w:lang w:val="en-GB"/>
        </w:rPr>
        <w:t xml:space="preserve"> the topics identified in the survey launched by the EHP Secretariat in 2022.</w:t>
      </w:r>
      <w:r w:rsidR="006F4D8E" w:rsidRPr="51F8B297">
        <w:rPr>
          <w:rFonts w:ascii="Times New Roman" w:hAnsi="Times New Roman" w:cs="Times New Roman"/>
          <w:sz w:val="24"/>
          <w:szCs w:val="24"/>
          <w:lang w:val="en-GB"/>
        </w:rPr>
        <w:t xml:space="preserve"> </w:t>
      </w:r>
    </w:p>
    <w:p w14:paraId="5A440877" w14:textId="21A37E76" w:rsidR="00B7516A" w:rsidRPr="00B7516A" w:rsidRDefault="004A54AE"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Regarding </w:t>
      </w:r>
      <w:r w:rsidR="005D738A" w:rsidRPr="51F8B297">
        <w:rPr>
          <w:rFonts w:ascii="Times New Roman" w:hAnsi="Times New Roman" w:cs="Times New Roman"/>
          <w:sz w:val="24"/>
          <w:szCs w:val="24"/>
          <w:lang w:val="en-GB"/>
        </w:rPr>
        <w:t xml:space="preserve">the identification of potential lead countries for the Bonn </w:t>
      </w:r>
      <w:r w:rsidR="005F14CD" w:rsidRPr="51F8B297">
        <w:rPr>
          <w:rFonts w:ascii="Times New Roman" w:hAnsi="Times New Roman" w:cs="Times New Roman"/>
          <w:sz w:val="24"/>
          <w:szCs w:val="24"/>
          <w:lang w:val="en-GB"/>
        </w:rPr>
        <w:t>Dialogues</w:t>
      </w:r>
      <w:r w:rsidR="00080929">
        <w:rPr>
          <w:rFonts w:ascii="Times New Roman" w:hAnsi="Times New Roman" w:cs="Times New Roman"/>
          <w:sz w:val="24"/>
          <w:szCs w:val="24"/>
          <w:lang w:val="en-GB"/>
        </w:rPr>
        <w:t>,</w:t>
      </w:r>
      <w:r w:rsidR="005F14CD">
        <w:rPr>
          <w:rFonts w:ascii="Times New Roman" w:hAnsi="Times New Roman" w:cs="Times New Roman"/>
          <w:sz w:val="24"/>
          <w:szCs w:val="24"/>
          <w:lang w:val="en-GB"/>
        </w:rPr>
        <w:t xml:space="preserve"> </w:t>
      </w:r>
      <w:r w:rsidR="005D738A" w:rsidRPr="51F8B297">
        <w:rPr>
          <w:rFonts w:ascii="Times New Roman" w:hAnsi="Times New Roman" w:cs="Times New Roman"/>
          <w:sz w:val="24"/>
          <w:szCs w:val="24"/>
          <w:lang w:val="en-GB"/>
        </w:rPr>
        <w:t xml:space="preserve">the </w:t>
      </w:r>
      <w:r w:rsidR="0072435B">
        <w:rPr>
          <w:rFonts w:ascii="Times New Roman" w:hAnsi="Times New Roman" w:cs="Times New Roman"/>
          <w:sz w:val="24"/>
          <w:szCs w:val="24"/>
          <w:lang w:val="en-GB"/>
        </w:rPr>
        <w:t>2022</w:t>
      </w:r>
      <w:r w:rsidR="00AB4660">
        <w:rPr>
          <w:rFonts w:ascii="Times New Roman" w:hAnsi="Times New Roman" w:cs="Times New Roman"/>
          <w:sz w:val="24"/>
          <w:szCs w:val="24"/>
          <w:lang w:val="en-GB"/>
        </w:rPr>
        <w:t xml:space="preserve"> </w:t>
      </w:r>
      <w:r w:rsidR="005D738A" w:rsidRPr="51F8B297">
        <w:rPr>
          <w:rFonts w:ascii="Times New Roman" w:hAnsi="Times New Roman" w:cs="Times New Roman"/>
          <w:sz w:val="24"/>
          <w:szCs w:val="24"/>
          <w:lang w:val="en-GB"/>
        </w:rPr>
        <w:t>survey</w:t>
      </w:r>
      <w:r w:rsidR="00744BB1">
        <w:rPr>
          <w:rFonts w:ascii="Times New Roman" w:hAnsi="Times New Roman" w:cs="Times New Roman"/>
          <w:sz w:val="24"/>
          <w:szCs w:val="24"/>
          <w:lang w:val="en-GB"/>
        </w:rPr>
        <w:t xml:space="preserve"> </w:t>
      </w:r>
      <w:r w:rsidR="006B5C24" w:rsidRPr="51F8B297">
        <w:rPr>
          <w:rFonts w:ascii="Times New Roman" w:hAnsi="Times New Roman" w:cs="Times New Roman"/>
          <w:sz w:val="24"/>
          <w:szCs w:val="24"/>
          <w:lang w:val="en-GB"/>
        </w:rPr>
        <w:t xml:space="preserve">can </w:t>
      </w:r>
      <w:r w:rsidR="00AB4660">
        <w:rPr>
          <w:rFonts w:ascii="Times New Roman" w:hAnsi="Times New Roman" w:cs="Times New Roman"/>
          <w:sz w:val="24"/>
          <w:szCs w:val="24"/>
          <w:lang w:val="en-GB"/>
        </w:rPr>
        <w:t xml:space="preserve">once again </w:t>
      </w:r>
      <w:r w:rsidR="00B7516A" w:rsidRPr="51F8B297">
        <w:rPr>
          <w:rFonts w:ascii="Times New Roman" w:hAnsi="Times New Roman" w:cs="Times New Roman"/>
          <w:sz w:val="24"/>
          <w:szCs w:val="24"/>
          <w:lang w:val="en-GB"/>
        </w:rPr>
        <w:t xml:space="preserve">serve as a </w:t>
      </w:r>
      <w:r w:rsidR="005F14CD" w:rsidRPr="51F8B297">
        <w:rPr>
          <w:rFonts w:ascii="Times New Roman" w:hAnsi="Times New Roman" w:cs="Times New Roman"/>
          <w:sz w:val="24"/>
          <w:szCs w:val="24"/>
          <w:lang w:val="en-GB"/>
        </w:rPr>
        <w:t>basis</w:t>
      </w:r>
      <w:r w:rsidR="00B7516A" w:rsidRPr="51F8B297">
        <w:rPr>
          <w:rFonts w:ascii="Times New Roman" w:hAnsi="Times New Roman" w:cs="Times New Roman"/>
          <w:sz w:val="24"/>
          <w:szCs w:val="24"/>
          <w:lang w:val="en-GB"/>
        </w:rPr>
        <w:t xml:space="preserve"> for information</w:t>
      </w:r>
      <w:r w:rsidR="005F14CD">
        <w:rPr>
          <w:rFonts w:ascii="Times New Roman" w:hAnsi="Times New Roman" w:cs="Times New Roman"/>
          <w:sz w:val="24"/>
          <w:szCs w:val="24"/>
          <w:lang w:val="en-GB"/>
        </w:rPr>
        <w:t xml:space="preserve">. </w:t>
      </w:r>
      <w:r w:rsidR="005F14CD" w:rsidRPr="005F14CD">
        <w:rPr>
          <w:rFonts w:ascii="Times New Roman" w:hAnsi="Times New Roman" w:cs="Times New Roman"/>
          <w:sz w:val="24"/>
          <w:szCs w:val="24"/>
          <w:lang w:val="en-GB"/>
        </w:rPr>
        <w:t xml:space="preserve">EHTF members are </w:t>
      </w:r>
      <w:r w:rsidR="005F14CD">
        <w:rPr>
          <w:rFonts w:ascii="Times New Roman" w:hAnsi="Times New Roman" w:cs="Times New Roman"/>
          <w:sz w:val="24"/>
          <w:szCs w:val="24"/>
          <w:lang w:val="en-GB"/>
        </w:rPr>
        <w:t xml:space="preserve">further </w:t>
      </w:r>
      <w:r w:rsidR="005F14CD" w:rsidRPr="005F14CD">
        <w:rPr>
          <w:rFonts w:ascii="Times New Roman" w:hAnsi="Times New Roman" w:cs="Times New Roman"/>
          <w:sz w:val="24"/>
          <w:szCs w:val="24"/>
          <w:lang w:val="en-GB"/>
        </w:rPr>
        <w:t xml:space="preserve">encouraged to submit proposals for leading Bonn Dialogues on their preferred topics. </w:t>
      </w:r>
    </w:p>
    <w:p w14:paraId="389B4A40" w14:textId="6820EEC6" w:rsidR="00B7516A" w:rsidRDefault="00B7516A"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The EHTF </w:t>
      </w:r>
      <w:r w:rsidR="00E608A8" w:rsidRPr="51F8B297">
        <w:rPr>
          <w:rFonts w:ascii="Times New Roman" w:hAnsi="Times New Roman" w:cs="Times New Roman"/>
          <w:sz w:val="24"/>
          <w:szCs w:val="24"/>
          <w:lang w:val="en-GB"/>
        </w:rPr>
        <w:t xml:space="preserve">Bureau </w:t>
      </w:r>
      <w:r w:rsidRPr="51F8B297">
        <w:rPr>
          <w:rFonts w:ascii="Times New Roman" w:hAnsi="Times New Roman" w:cs="Times New Roman"/>
          <w:sz w:val="24"/>
          <w:szCs w:val="24"/>
          <w:lang w:val="en-GB"/>
        </w:rPr>
        <w:t xml:space="preserve">is invited to discuss the continuation of the Bonn Dialogues series </w:t>
      </w:r>
      <w:r w:rsidR="00C557FA" w:rsidRPr="56B6E223">
        <w:rPr>
          <w:rFonts w:ascii="Times New Roman" w:hAnsi="Times New Roman" w:cs="Times New Roman"/>
          <w:sz w:val="24"/>
          <w:szCs w:val="24"/>
          <w:lang w:val="en-GB"/>
        </w:rPr>
        <w:t xml:space="preserve">for </w:t>
      </w:r>
      <w:r w:rsidRPr="51F8B297">
        <w:rPr>
          <w:rFonts w:ascii="Times New Roman" w:hAnsi="Times New Roman" w:cs="Times New Roman"/>
          <w:sz w:val="24"/>
          <w:szCs w:val="24"/>
          <w:lang w:val="en-GB"/>
        </w:rPr>
        <w:t>the 2024</w:t>
      </w:r>
      <w:r w:rsidR="00E608A8" w:rsidRPr="51F8B297">
        <w:rPr>
          <w:rFonts w:ascii="Symbol" w:eastAsia="Symbol" w:hAnsi="Symbol" w:cs="Symbol"/>
          <w:sz w:val="24"/>
          <w:szCs w:val="24"/>
          <w:lang w:val="en-GB"/>
        </w:rPr>
        <w:t>-</w:t>
      </w:r>
      <w:r w:rsidRPr="51F8B297">
        <w:rPr>
          <w:rFonts w:ascii="Times New Roman" w:hAnsi="Times New Roman" w:cs="Times New Roman"/>
          <w:sz w:val="24"/>
          <w:szCs w:val="24"/>
          <w:lang w:val="en-GB"/>
        </w:rPr>
        <w:t xml:space="preserve">2025 </w:t>
      </w:r>
      <w:r w:rsidR="00C557FA" w:rsidRPr="56B6E223">
        <w:rPr>
          <w:rFonts w:ascii="Times New Roman" w:hAnsi="Times New Roman" w:cs="Times New Roman"/>
          <w:sz w:val="24"/>
          <w:szCs w:val="24"/>
          <w:lang w:val="en-GB"/>
        </w:rPr>
        <w:t xml:space="preserve">biennium </w:t>
      </w:r>
      <w:r w:rsidR="005F14CD">
        <w:rPr>
          <w:rFonts w:ascii="Times New Roman" w:hAnsi="Times New Roman" w:cs="Times New Roman"/>
          <w:sz w:val="24"/>
          <w:szCs w:val="24"/>
          <w:lang w:val="en-GB"/>
        </w:rPr>
        <w:t>(</w:t>
      </w:r>
      <w:r w:rsidR="005F14CD" w:rsidRPr="005F14CD">
        <w:rPr>
          <w:rFonts w:ascii="Times New Roman" w:hAnsi="Times New Roman" w:cs="Times New Roman"/>
          <w:i/>
          <w:iCs/>
          <w:sz w:val="24"/>
          <w:szCs w:val="24"/>
          <w:lang w:val="en-GB"/>
        </w:rPr>
        <w:t>ref.</w:t>
      </w:r>
      <w:r w:rsidR="005F14CD">
        <w:rPr>
          <w:rFonts w:ascii="Times New Roman" w:hAnsi="Times New Roman" w:cs="Times New Roman"/>
          <w:sz w:val="24"/>
          <w:szCs w:val="24"/>
          <w:lang w:val="en-GB"/>
        </w:rPr>
        <w:t xml:space="preserve"> </w:t>
      </w:r>
      <w:r w:rsidR="006C50D6" w:rsidRPr="006C50D6">
        <w:rPr>
          <w:rFonts w:ascii="Times New Roman" w:hAnsi="Times New Roman" w:cs="Times New Roman"/>
          <w:i/>
          <w:iCs/>
          <w:sz w:val="24"/>
          <w:szCs w:val="24"/>
          <w:lang w:val="en-GB"/>
        </w:rPr>
        <w:t xml:space="preserve">EURO EHTFB12 </w:t>
      </w:r>
      <w:r w:rsidR="006C5C93">
        <w:rPr>
          <w:rFonts w:ascii="Times New Roman" w:hAnsi="Times New Roman" w:cs="Times New Roman"/>
          <w:i/>
          <w:iCs/>
          <w:sz w:val="24"/>
          <w:szCs w:val="24"/>
          <w:lang w:val="en-GB"/>
        </w:rPr>
        <w:t>8</w:t>
      </w:r>
      <w:r w:rsidR="006C50D6" w:rsidRPr="006C50D6">
        <w:rPr>
          <w:rFonts w:ascii="Times New Roman" w:hAnsi="Times New Roman" w:cs="Times New Roman"/>
          <w:i/>
          <w:iCs/>
          <w:sz w:val="24"/>
          <w:szCs w:val="24"/>
          <w:lang w:val="en-GB"/>
        </w:rPr>
        <w:t xml:space="preserve"> </w:t>
      </w:r>
      <w:r w:rsidR="005F14CD" w:rsidRPr="006C50D6">
        <w:rPr>
          <w:rFonts w:ascii="Times New Roman" w:hAnsi="Times New Roman" w:cs="Times New Roman"/>
          <w:i/>
          <w:iCs/>
          <w:sz w:val="24"/>
          <w:szCs w:val="24"/>
          <w:lang w:val="en-GB"/>
        </w:rPr>
        <w:t>Draft</w:t>
      </w:r>
      <w:r w:rsidR="005F14CD" w:rsidRPr="005F14CD">
        <w:rPr>
          <w:rFonts w:ascii="Times New Roman" w:hAnsi="Times New Roman" w:cs="Times New Roman"/>
          <w:i/>
          <w:iCs/>
          <w:sz w:val="24"/>
          <w:szCs w:val="24"/>
          <w:lang w:val="en-GB"/>
        </w:rPr>
        <w:t xml:space="preserve"> information note on the Bonn Dialogues on Environment and Health following the Seventh Ministerial Conference</w:t>
      </w:r>
      <w:r w:rsidR="005F14CD">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and to review the proposal for the Dialogues' programme (</w:t>
      </w:r>
      <w:r w:rsidR="00E608A8" w:rsidRPr="51F8B297">
        <w:rPr>
          <w:rFonts w:ascii="Times New Roman" w:hAnsi="Times New Roman" w:cs="Times New Roman"/>
          <w:sz w:val="24"/>
          <w:szCs w:val="24"/>
          <w:lang w:val="en-GB"/>
        </w:rPr>
        <w:t xml:space="preserve">Table </w:t>
      </w:r>
      <w:r w:rsidR="00604823" w:rsidRPr="51F8B297">
        <w:rPr>
          <w:rFonts w:ascii="Times New Roman" w:hAnsi="Times New Roman" w:cs="Times New Roman"/>
          <w:sz w:val="24"/>
          <w:szCs w:val="24"/>
          <w:lang w:val="en-GB"/>
        </w:rPr>
        <w:t>3</w:t>
      </w:r>
      <w:r w:rsidRPr="51F8B297">
        <w:rPr>
          <w:rFonts w:ascii="Times New Roman" w:hAnsi="Times New Roman" w:cs="Times New Roman"/>
          <w:sz w:val="24"/>
          <w:szCs w:val="24"/>
          <w:lang w:val="en-GB"/>
        </w:rPr>
        <w:t xml:space="preserve">). </w:t>
      </w:r>
      <w:r w:rsidR="00E608A8" w:rsidRPr="51F8B297">
        <w:rPr>
          <w:rFonts w:ascii="Times New Roman" w:hAnsi="Times New Roman" w:cs="Times New Roman"/>
          <w:sz w:val="24"/>
          <w:szCs w:val="24"/>
          <w:lang w:val="en-GB"/>
        </w:rPr>
        <w:t>It is proposed to maintain</w:t>
      </w:r>
      <w:r w:rsidRPr="51F8B297">
        <w:rPr>
          <w:rFonts w:ascii="Times New Roman" w:hAnsi="Times New Roman" w:cs="Times New Roman"/>
          <w:sz w:val="24"/>
          <w:szCs w:val="24"/>
          <w:lang w:val="en-GB"/>
        </w:rPr>
        <w:t xml:space="preserve"> the calendar as a rolling set of activities, accessible to all Member States and EHP stakeholders in an appropriate format, ideally on the EHP SharePoint website.</w:t>
      </w:r>
    </w:p>
    <w:p w14:paraId="46E98A51" w14:textId="6A718EF5" w:rsidR="006C40FF" w:rsidRPr="006C40FF" w:rsidRDefault="006C40FF" w:rsidP="37589110">
      <w:pPr>
        <w:spacing w:before="120" w:after="120" w:line="259" w:lineRule="auto"/>
        <w:textAlignment w:val="baseline"/>
        <w:rPr>
          <w:rFonts w:ascii="Times New Roman" w:eastAsia="Times New Roman" w:hAnsi="Times New Roman" w:cs="Times New Roman"/>
          <w:i/>
          <w:iCs/>
          <w:color w:val="2F5496"/>
          <w:sz w:val="22"/>
          <w:szCs w:val="22"/>
          <w:lang w:val="en-GB"/>
        </w:rPr>
      </w:pPr>
      <w:r w:rsidRPr="37589110">
        <w:rPr>
          <w:rFonts w:ascii="Times New Roman" w:eastAsia="Times New Roman" w:hAnsi="Times New Roman" w:cs="Times New Roman"/>
          <w:b/>
          <w:bCs/>
          <w:i/>
          <w:iCs/>
          <w:color w:val="2F5496" w:themeColor="accent5" w:themeShade="BF"/>
          <w:sz w:val="22"/>
          <w:szCs w:val="22"/>
          <w:lang w:val="en-GB"/>
        </w:rPr>
        <w:t xml:space="preserve">Table </w:t>
      </w:r>
      <w:r w:rsidR="00604823">
        <w:rPr>
          <w:rFonts w:ascii="Times New Roman" w:eastAsia="Times New Roman" w:hAnsi="Times New Roman" w:cs="Times New Roman"/>
          <w:b/>
          <w:bCs/>
          <w:i/>
          <w:iCs/>
          <w:color w:val="2F5496" w:themeColor="accent5" w:themeShade="BF"/>
          <w:sz w:val="22"/>
          <w:szCs w:val="22"/>
          <w:lang w:val="en-GB"/>
        </w:rPr>
        <w:t>3</w:t>
      </w:r>
      <w:r w:rsidRPr="37589110">
        <w:rPr>
          <w:rFonts w:ascii="Times New Roman" w:eastAsia="Times New Roman" w:hAnsi="Times New Roman" w:cs="Times New Roman"/>
          <w:b/>
          <w:bCs/>
          <w:i/>
          <w:iCs/>
          <w:color w:val="2F5496" w:themeColor="accent5" w:themeShade="BF"/>
          <w:sz w:val="22"/>
          <w:szCs w:val="22"/>
          <w:lang w:val="en-GB"/>
        </w:rPr>
        <w:t>. Draft proposal for the programme of the Bonn Dialogues</w:t>
      </w:r>
      <w:r w:rsidR="001755EB">
        <w:rPr>
          <w:rFonts w:ascii="Times New Roman" w:eastAsia="Times New Roman" w:hAnsi="Times New Roman" w:cs="Times New Roman"/>
          <w:b/>
          <w:bCs/>
          <w:i/>
          <w:iCs/>
          <w:color w:val="2F5496" w:themeColor="accent5" w:themeShade="BF"/>
          <w:sz w:val="22"/>
          <w:szCs w:val="22"/>
          <w:lang w:val="en-GB"/>
        </w:rPr>
        <w:t xml:space="preserve"> on </w:t>
      </w:r>
      <w:r w:rsidR="0080165D">
        <w:rPr>
          <w:rFonts w:ascii="Times New Roman" w:eastAsia="Times New Roman" w:hAnsi="Times New Roman" w:cs="Times New Roman"/>
          <w:b/>
          <w:bCs/>
          <w:i/>
          <w:iCs/>
          <w:color w:val="2F5496" w:themeColor="accent5" w:themeShade="BF"/>
          <w:sz w:val="22"/>
          <w:szCs w:val="22"/>
          <w:lang w:val="en-GB"/>
        </w:rPr>
        <w:t>Environment and Health</w:t>
      </w:r>
    </w:p>
    <w:p w14:paraId="086C1E85" w14:textId="3A8E4B61" w:rsidR="006C40FF" w:rsidRPr="006C40FF" w:rsidRDefault="006C40FF" w:rsidP="37589110">
      <w:pPr>
        <w:spacing w:before="120" w:after="120" w:line="259" w:lineRule="auto"/>
        <w:jc w:val="both"/>
        <w:textAlignment w:val="baseline"/>
        <w:rPr>
          <w:rFonts w:ascii="Segoe UI" w:eastAsia="Times New Roman" w:hAnsi="Segoe UI" w:cs="Segoe UI"/>
          <w:sz w:val="18"/>
          <w:szCs w:val="18"/>
          <w:lang w:val="en-GB"/>
        </w:rPr>
      </w:pPr>
      <w:r w:rsidRPr="37589110">
        <w:rPr>
          <w:rFonts w:ascii="Times New Roman" w:eastAsia="Times New Roman" w:hAnsi="Times New Roman" w:cs="Times New Roman"/>
          <w:sz w:val="24"/>
          <w:szCs w:val="24"/>
          <w:lang w:val="en-GB"/>
        </w:rPr>
        <w:t>The table below presents the draft proposal for the Bonn Dialogues programme. It includes a concise overview of the main objectives of the Dialogues, the intended audience, potential topics, format, frequency, and resource needs.</w:t>
      </w:r>
    </w:p>
    <w:tbl>
      <w:tblPr>
        <w:tblStyle w:val="TableGrid"/>
        <w:tblW w:w="9330" w:type="dxa"/>
        <w:tblLook w:val="04A0" w:firstRow="1" w:lastRow="0" w:firstColumn="1" w:lastColumn="0" w:noHBand="0" w:noVBand="1"/>
      </w:tblPr>
      <w:tblGrid>
        <w:gridCol w:w="1635"/>
        <w:gridCol w:w="7695"/>
      </w:tblGrid>
      <w:tr w:rsidR="006C40FF" w:rsidRPr="006C40FF" w14:paraId="4CC7D5E6" w14:textId="77777777" w:rsidTr="16F7A599">
        <w:trPr>
          <w:trHeight w:val="300"/>
        </w:trPr>
        <w:tc>
          <w:tcPr>
            <w:tcW w:w="1635" w:type="dxa"/>
            <w:shd w:val="clear" w:color="auto" w:fill="DEEAF6" w:themeFill="accent1" w:themeFillTint="33"/>
            <w:hideMark/>
          </w:tcPr>
          <w:p w14:paraId="36DB86AB" w14:textId="00C97C30"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Objective</w:t>
            </w:r>
          </w:p>
        </w:tc>
        <w:tc>
          <w:tcPr>
            <w:tcW w:w="7695" w:type="dxa"/>
            <w:hideMark/>
          </w:tcPr>
          <w:p w14:paraId="238E5A24" w14:textId="60B9085E" w:rsidR="00B8230C"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T</w:t>
            </w:r>
            <w:r w:rsidR="001762A4" w:rsidRPr="16F7A599">
              <w:rPr>
                <w:rFonts w:ascii="Times New Roman" w:eastAsia="Times New Roman" w:hAnsi="Times New Roman" w:cs="Times New Roman"/>
                <w:sz w:val="22"/>
                <w:szCs w:val="22"/>
              </w:rPr>
              <w:t>he main objective</w:t>
            </w:r>
            <w:r w:rsidR="00182523" w:rsidRPr="16F7A599">
              <w:rPr>
                <w:rFonts w:ascii="Times New Roman" w:eastAsia="Times New Roman" w:hAnsi="Times New Roman" w:cs="Times New Roman"/>
                <w:sz w:val="22"/>
                <w:szCs w:val="22"/>
              </w:rPr>
              <w:t>s</w:t>
            </w:r>
            <w:r w:rsidR="001762A4" w:rsidRPr="16F7A599">
              <w:rPr>
                <w:rFonts w:ascii="Times New Roman" w:eastAsia="Times New Roman" w:hAnsi="Times New Roman" w:cs="Times New Roman"/>
                <w:sz w:val="22"/>
                <w:szCs w:val="22"/>
              </w:rPr>
              <w:t xml:space="preserve"> </w:t>
            </w:r>
            <w:r w:rsidR="0054093E" w:rsidRPr="16F7A599">
              <w:rPr>
                <w:rFonts w:ascii="Times New Roman" w:eastAsia="Times New Roman" w:hAnsi="Times New Roman" w:cs="Times New Roman"/>
                <w:sz w:val="22"/>
                <w:szCs w:val="22"/>
              </w:rPr>
              <w:t>of the Bonn Dialogues</w:t>
            </w:r>
            <w:r w:rsidR="00B8230C" w:rsidRPr="16F7A599">
              <w:rPr>
                <w:rFonts w:ascii="Times New Roman" w:eastAsia="Times New Roman" w:hAnsi="Times New Roman" w:cs="Times New Roman"/>
                <w:sz w:val="22"/>
                <w:szCs w:val="22"/>
              </w:rPr>
              <w:t>:</w:t>
            </w:r>
          </w:p>
          <w:p w14:paraId="325FBC23" w14:textId="17C2C063" w:rsidR="00182523" w:rsidRPr="00182523" w:rsidRDefault="006C40FF" w:rsidP="00182523">
            <w:pPr>
              <w:pStyle w:val="ListParagraph"/>
              <w:numPr>
                <w:ilvl w:val="0"/>
                <w:numId w:val="32"/>
              </w:num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offer policymakers a valuable platform for discussions</w:t>
            </w:r>
            <w:r w:rsidR="00D83685">
              <w:rPr>
                <w:rFonts w:ascii="Times New Roman" w:eastAsia="Times New Roman" w:hAnsi="Times New Roman" w:cs="Times New Roman"/>
                <w:sz w:val="22"/>
                <w:szCs w:val="22"/>
              </w:rPr>
              <w:t xml:space="preserve"> </w:t>
            </w:r>
            <w:r w:rsidR="00F254AE" w:rsidRPr="00182523">
              <w:rPr>
                <w:rFonts w:ascii="Times New Roman" w:eastAsia="Times New Roman" w:hAnsi="Times New Roman" w:cs="Times New Roman"/>
                <w:sz w:val="22"/>
                <w:szCs w:val="22"/>
              </w:rPr>
              <w:t>focus</w:t>
            </w:r>
            <w:r w:rsidR="00D578E8">
              <w:rPr>
                <w:rFonts w:ascii="Times New Roman" w:eastAsia="Times New Roman" w:hAnsi="Times New Roman" w:cs="Times New Roman"/>
                <w:sz w:val="22"/>
                <w:szCs w:val="22"/>
              </w:rPr>
              <w:t>ing</w:t>
            </w:r>
            <w:r w:rsidRPr="16F7A599">
              <w:rPr>
                <w:rFonts w:ascii="Times New Roman" w:eastAsia="Times New Roman" w:hAnsi="Times New Roman" w:cs="Times New Roman"/>
                <w:sz w:val="22"/>
                <w:szCs w:val="22"/>
              </w:rPr>
              <w:t xml:space="preserve"> on the implementation of Budapest and previous Ministerial Conferences’ </w:t>
            </w:r>
            <w:proofErr w:type="gramStart"/>
            <w:r w:rsidRPr="16F7A599">
              <w:rPr>
                <w:rFonts w:ascii="Times New Roman" w:eastAsia="Times New Roman" w:hAnsi="Times New Roman" w:cs="Times New Roman"/>
                <w:sz w:val="22"/>
                <w:szCs w:val="22"/>
              </w:rPr>
              <w:t>commitments</w:t>
            </w:r>
            <w:r w:rsidR="00182523" w:rsidRPr="16F7A599">
              <w:rPr>
                <w:rFonts w:ascii="Times New Roman" w:eastAsia="Times New Roman" w:hAnsi="Times New Roman" w:cs="Times New Roman"/>
                <w:sz w:val="22"/>
                <w:szCs w:val="22"/>
              </w:rPr>
              <w:t>;</w:t>
            </w:r>
            <w:proofErr w:type="gramEnd"/>
          </w:p>
          <w:p w14:paraId="1ECA2A5C" w14:textId="5FC47E3C" w:rsidR="006C40FF" w:rsidRPr="00182523" w:rsidRDefault="006C40FF" w:rsidP="00182523">
            <w:pPr>
              <w:pStyle w:val="ListParagraph"/>
              <w:numPr>
                <w:ilvl w:val="0"/>
                <w:numId w:val="32"/>
              </w:num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 xml:space="preserve">facilitate the exchange of experiences and knowledge among governments at both the national and subnational levels, </w:t>
            </w:r>
            <w:r w:rsidR="00B56510" w:rsidRPr="16F7A599">
              <w:rPr>
                <w:rFonts w:ascii="Times New Roman" w:eastAsia="Times New Roman" w:hAnsi="Times New Roman" w:cs="Times New Roman"/>
                <w:sz w:val="22"/>
                <w:szCs w:val="22"/>
              </w:rPr>
              <w:t xml:space="preserve">enabling </w:t>
            </w:r>
            <w:r w:rsidRPr="16F7A599">
              <w:rPr>
                <w:rFonts w:ascii="Times New Roman" w:eastAsia="Times New Roman" w:hAnsi="Times New Roman" w:cs="Times New Roman"/>
                <w:sz w:val="22"/>
                <w:szCs w:val="22"/>
              </w:rPr>
              <w:t>them to</w:t>
            </w:r>
            <w:r w:rsidR="00883686">
              <w:rPr>
                <w:rFonts w:ascii="Times New Roman" w:eastAsia="Times New Roman" w:hAnsi="Times New Roman" w:cs="Times New Roman"/>
                <w:sz w:val="22"/>
                <w:szCs w:val="22"/>
              </w:rPr>
              <w:t xml:space="preserve"> seize the opportunities and</w:t>
            </w:r>
            <w:r w:rsidRPr="16F7A599">
              <w:rPr>
                <w:rFonts w:ascii="Times New Roman" w:eastAsia="Times New Roman" w:hAnsi="Times New Roman" w:cs="Times New Roman"/>
                <w:sz w:val="22"/>
                <w:szCs w:val="22"/>
              </w:rPr>
              <w:t xml:space="preserve"> address and overcome the challenges they encounter while striving to implement the Budapest commitments.</w:t>
            </w:r>
          </w:p>
        </w:tc>
      </w:tr>
      <w:tr w:rsidR="006C40FF" w:rsidRPr="006C40FF" w14:paraId="05D5BBF2" w14:textId="77777777" w:rsidTr="16F7A599">
        <w:trPr>
          <w:trHeight w:val="300"/>
        </w:trPr>
        <w:tc>
          <w:tcPr>
            <w:tcW w:w="1635" w:type="dxa"/>
            <w:shd w:val="clear" w:color="auto" w:fill="DEEAF6" w:themeFill="accent1" w:themeFillTint="33"/>
            <w:hideMark/>
          </w:tcPr>
          <w:p w14:paraId="7FD7F8C0" w14:textId="1FC6A384"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t>Participants</w:t>
            </w:r>
          </w:p>
        </w:tc>
        <w:tc>
          <w:tcPr>
            <w:tcW w:w="7695" w:type="dxa"/>
            <w:hideMark/>
          </w:tcPr>
          <w:p w14:paraId="1B6ED45D" w14:textId="6F05FEB0"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EHTF members, stakeholders, high-level representatives of Member States, leading scientists</w:t>
            </w:r>
            <w:r w:rsidR="00E23C94" w:rsidRPr="16F7A599">
              <w:rPr>
                <w:rFonts w:ascii="Times New Roman" w:eastAsia="Times New Roman" w:hAnsi="Times New Roman" w:cs="Times New Roman"/>
                <w:sz w:val="22"/>
                <w:szCs w:val="22"/>
              </w:rPr>
              <w:t>, youth</w:t>
            </w:r>
            <w:r w:rsidRPr="16F7A599">
              <w:rPr>
                <w:rFonts w:ascii="Times New Roman" w:eastAsia="Times New Roman" w:hAnsi="Times New Roman" w:cs="Times New Roman"/>
                <w:sz w:val="22"/>
                <w:szCs w:val="22"/>
              </w:rPr>
              <w:t xml:space="preserve"> and the EHP Secretariat.</w:t>
            </w:r>
          </w:p>
        </w:tc>
      </w:tr>
      <w:tr w:rsidR="006C40FF" w:rsidRPr="006C40FF" w14:paraId="262B8E8F" w14:textId="77777777" w:rsidTr="16F7A599">
        <w:trPr>
          <w:trHeight w:val="300"/>
        </w:trPr>
        <w:tc>
          <w:tcPr>
            <w:tcW w:w="1635" w:type="dxa"/>
            <w:shd w:val="clear" w:color="auto" w:fill="DEEAF6" w:themeFill="accent1" w:themeFillTint="33"/>
            <w:hideMark/>
          </w:tcPr>
          <w:p w14:paraId="24F8814E" w14:textId="1242E266" w:rsidR="006C40FF" w:rsidRPr="006C40FF" w:rsidRDefault="006C40FF" w:rsidP="16F7A599">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b/>
                <w:bCs/>
                <w:sz w:val="22"/>
                <w:szCs w:val="22"/>
              </w:rPr>
              <w:t xml:space="preserve">Tentative </w:t>
            </w:r>
            <w:r w:rsidR="00082C7F" w:rsidRPr="16F7A599">
              <w:rPr>
                <w:rFonts w:ascii="Times New Roman" w:eastAsia="Times New Roman" w:hAnsi="Times New Roman" w:cs="Times New Roman"/>
                <w:b/>
                <w:bCs/>
                <w:sz w:val="22"/>
                <w:szCs w:val="22"/>
              </w:rPr>
              <w:t>topics</w:t>
            </w:r>
            <w:r w:rsidR="00C45B9F" w:rsidRPr="16F7A599">
              <w:rPr>
                <w:rFonts w:ascii="Times New Roman" w:eastAsia="Times New Roman" w:hAnsi="Times New Roman" w:cs="Times New Roman"/>
                <w:b/>
                <w:bCs/>
                <w:sz w:val="22"/>
                <w:szCs w:val="22"/>
              </w:rPr>
              <w:t xml:space="preserve"> </w:t>
            </w:r>
          </w:p>
        </w:tc>
        <w:tc>
          <w:tcPr>
            <w:tcW w:w="7695" w:type="dxa"/>
            <w:hideMark/>
          </w:tcPr>
          <w:p w14:paraId="5D3D2376" w14:textId="4EE66869" w:rsidR="00333662" w:rsidRDefault="00924D1D" w:rsidP="00924D1D">
            <w:pPr>
              <w:spacing w:before="80" w:after="80" w:line="259" w:lineRule="auto"/>
              <w:jc w:val="both"/>
              <w:textAlignment w:val="baseline"/>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This list outlines proposed topics in the latter half of 2024 and 2025, and is pending for further prioritization and EHTF discussion:</w:t>
            </w:r>
          </w:p>
          <w:p w14:paraId="51A54E3B" w14:textId="6C93C1AD" w:rsidR="0070050B" w:rsidRDefault="0070050B" w:rsidP="16F7A599">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Dialogue on </w:t>
            </w:r>
            <w:r w:rsidR="00A429CE">
              <w:rPr>
                <w:rFonts w:ascii="Times New Roman" w:eastAsia="Times New Roman" w:hAnsi="Times New Roman" w:cs="Times New Roman"/>
                <w:color w:val="000000" w:themeColor="text1"/>
                <w:sz w:val="22"/>
                <w:szCs w:val="22"/>
              </w:rPr>
              <w:t>the active mobility</w:t>
            </w:r>
            <w:r w:rsidRPr="0070050B">
              <w:rPr>
                <w:rFonts w:ascii="Times New Roman" w:eastAsia="Times New Roman" w:hAnsi="Times New Roman" w:cs="Times New Roman"/>
                <w:color w:val="000000" w:themeColor="text1"/>
                <w:sz w:val="22"/>
                <w:szCs w:val="22"/>
              </w:rPr>
              <w:t xml:space="preserve"> for </w:t>
            </w:r>
            <w:r w:rsidR="00600EEC">
              <w:rPr>
                <w:rFonts w:ascii="Times New Roman" w:eastAsia="Times New Roman" w:hAnsi="Times New Roman" w:cs="Times New Roman"/>
                <w:color w:val="000000" w:themeColor="text1"/>
                <w:sz w:val="22"/>
                <w:szCs w:val="22"/>
              </w:rPr>
              <w:t xml:space="preserve">the </w:t>
            </w:r>
            <w:r w:rsidR="00A429CE">
              <w:rPr>
                <w:rFonts w:ascii="Times New Roman" w:eastAsia="Times New Roman" w:hAnsi="Times New Roman" w:cs="Times New Roman"/>
                <w:color w:val="000000" w:themeColor="text1"/>
                <w:sz w:val="22"/>
                <w:szCs w:val="22"/>
              </w:rPr>
              <w:t>W</w:t>
            </w:r>
            <w:r w:rsidRPr="0070050B">
              <w:rPr>
                <w:rFonts w:ascii="Times New Roman" w:eastAsia="Times New Roman" w:hAnsi="Times New Roman" w:cs="Times New Roman"/>
                <w:color w:val="000000" w:themeColor="text1"/>
                <w:sz w:val="22"/>
                <w:szCs w:val="22"/>
              </w:rPr>
              <w:t xml:space="preserve">orld </w:t>
            </w:r>
            <w:r w:rsidR="00A429CE">
              <w:rPr>
                <w:rFonts w:ascii="Times New Roman" w:eastAsia="Times New Roman" w:hAnsi="Times New Roman" w:cs="Times New Roman"/>
                <w:color w:val="000000" w:themeColor="text1"/>
                <w:sz w:val="22"/>
                <w:szCs w:val="22"/>
              </w:rPr>
              <w:t>B</w:t>
            </w:r>
            <w:r w:rsidRPr="0070050B">
              <w:rPr>
                <w:rFonts w:ascii="Times New Roman" w:eastAsia="Times New Roman" w:hAnsi="Times New Roman" w:cs="Times New Roman"/>
                <w:color w:val="000000" w:themeColor="text1"/>
                <w:sz w:val="22"/>
                <w:szCs w:val="22"/>
              </w:rPr>
              <w:t xml:space="preserve">icycle </w:t>
            </w:r>
            <w:r w:rsidR="00A429CE">
              <w:rPr>
                <w:rFonts w:ascii="Times New Roman" w:eastAsia="Times New Roman" w:hAnsi="Times New Roman" w:cs="Times New Roman"/>
                <w:color w:val="000000" w:themeColor="text1"/>
                <w:sz w:val="22"/>
                <w:szCs w:val="22"/>
              </w:rPr>
              <w:t>D</w:t>
            </w:r>
            <w:r w:rsidRPr="0070050B">
              <w:rPr>
                <w:rFonts w:ascii="Times New Roman" w:eastAsia="Times New Roman" w:hAnsi="Times New Roman" w:cs="Times New Roman"/>
                <w:color w:val="000000" w:themeColor="text1"/>
                <w:sz w:val="22"/>
                <w:szCs w:val="22"/>
              </w:rPr>
              <w:t>ay or the European Mobility Week</w:t>
            </w:r>
            <w:r>
              <w:rPr>
                <w:rFonts w:ascii="Times New Roman" w:eastAsia="Times New Roman" w:hAnsi="Times New Roman" w:cs="Times New Roman"/>
                <w:color w:val="000000" w:themeColor="text1"/>
                <w:sz w:val="22"/>
                <w:szCs w:val="22"/>
              </w:rPr>
              <w:t>.</w:t>
            </w:r>
          </w:p>
          <w:p w14:paraId="03EE20E2" w14:textId="389BF225" w:rsidR="0073775D" w:rsidRDefault="0073775D" w:rsidP="16F7A599">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health impact assessment / health in the environmental assessment as a tool for urban planning and health for all / health in all policies</w:t>
            </w:r>
            <w:r w:rsidRPr="16F7A599">
              <w:rPr>
                <w:rFonts w:ascii="Times New Roman" w:eastAsia="Times New Roman" w:hAnsi="Times New Roman" w:cs="Times New Roman"/>
                <w:sz w:val="22"/>
                <w:szCs w:val="22"/>
              </w:rPr>
              <w:t>.</w:t>
            </w:r>
          </w:p>
          <w:p w14:paraId="3DB2D97F" w14:textId="28177C58" w:rsidR="0073775D" w:rsidRDefault="0073775D" w:rsidP="0073775D">
            <w:pPr>
              <w:pStyle w:val="ListParagraph"/>
              <w:numPr>
                <w:ilvl w:val="0"/>
                <w:numId w:val="27"/>
              </w:numPr>
              <w:spacing w:before="80" w:after="80" w:line="259" w:lineRule="auto"/>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Dialogue on Planetary Health and One Health, e.g. for the latter: Integrating environment and health into One Health and the economic argument for One Health</w:t>
            </w:r>
            <w:r w:rsidR="00924D1D" w:rsidRPr="16F7A599">
              <w:rPr>
                <w:rFonts w:ascii="Times New Roman" w:eastAsia="Times New Roman" w:hAnsi="Times New Roman" w:cs="Times New Roman"/>
                <w:sz w:val="22"/>
                <w:szCs w:val="22"/>
              </w:rPr>
              <w:t xml:space="preserve">. </w:t>
            </w:r>
          </w:p>
          <w:p w14:paraId="3A366662" w14:textId="55968F8A" w:rsidR="00924D1D" w:rsidRDefault="00924D1D" w:rsidP="00924D1D">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249D2BBD">
              <w:rPr>
                <w:rFonts w:ascii="Times New Roman" w:eastAsia="Times New Roman" w:hAnsi="Times New Roman" w:cs="Times New Roman"/>
                <w:color w:val="000000" w:themeColor="text1"/>
                <w:sz w:val="22"/>
                <w:szCs w:val="22"/>
              </w:rPr>
              <w:t>Dialogue on National Portfolios of Actions on Environment and Health.</w:t>
            </w:r>
          </w:p>
          <w:p w14:paraId="4F0CE1CE" w14:textId="4459F955" w:rsidR="007A4284" w:rsidRPr="007A4284" w:rsidRDefault="007A4284" w:rsidP="007A4284">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lang w:val="fr-CH"/>
              </w:rPr>
            </w:pPr>
            <w:r w:rsidRPr="249D2BBD">
              <w:rPr>
                <w:rFonts w:ascii="Times New Roman" w:eastAsia="Times New Roman" w:hAnsi="Times New Roman" w:cs="Times New Roman"/>
                <w:color w:val="000000" w:themeColor="text1"/>
                <w:sz w:val="22"/>
                <w:szCs w:val="22"/>
                <w:lang w:val="fr-CH"/>
              </w:rPr>
              <w:t xml:space="preserve">Dialogue on </w:t>
            </w:r>
            <w:proofErr w:type="spellStart"/>
            <w:r w:rsidRPr="249D2BBD">
              <w:rPr>
                <w:rFonts w:ascii="Times New Roman" w:eastAsia="Times New Roman" w:hAnsi="Times New Roman" w:cs="Times New Roman"/>
                <w:color w:val="000000" w:themeColor="text1"/>
                <w:sz w:val="22"/>
                <w:szCs w:val="22"/>
                <w:lang w:val="fr-CH"/>
              </w:rPr>
              <w:t>environment</w:t>
            </w:r>
            <w:proofErr w:type="spellEnd"/>
            <w:r w:rsidRPr="249D2BBD">
              <w:rPr>
                <w:rFonts w:ascii="Times New Roman" w:eastAsia="Times New Roman" w:hAnsi="Times New Roman" w:cs="Times New Roman"/>
                <w:color w:val="000000" w:themeColor="text1"/>
                <w:sz w:val="22"/>
                <w:szCs w:val="22"/>
                <w:lang w:val="fr-CH"/>
              </w:rPr>
              <w:t xml:space="preserve"> and </w:t>
            </w:r>
            <w:proofErr w:type="spellStart"/>
            <w:r w:rsidRPr="249D2BBD">
              <w:rPr>
                <w:rFonts w:ascii="Times New Roman" w:eastAsia="Times New Roman" w:hAnsi="Times New Roman" w:cs="Times New Roman"/>
                <w:color w:val="000000" w:themeColor="text1"/>
                <w:sz w:val="22"/>
                <w:szCs w:val="22"/>
                <w:lang w:val="fr-CH"/>
              </w:rPr>
              <w:t>injury</w:t>
            </w:r>
            <w:proofErr w:type="spellEnd"/>
            <w:r w:rsidRPr="249D2BBD">
              <w:rPr>
                <w:rFonts w:ascii="Times New Roman" w:eastAsia="Times New Roman" w:hAnsi="Times New Roman" w:cs="Times New Roman"/>
                <w:color w:val="000000" w:themeColor="text1"/>
                <w:sz w:val="22"/>
                <w:szCs w:val="22"/>
                <w:lang w:val="fr-CH"/>
              </w:rPr>
              <w:t xml:space="preserve"> </w:t>
            </w:r>
            <w:proofErr w:type="spellStart"/>
            <w:r w:rsidRPr="249D2BBD">
              <w:rPr>
                <w:rFonts w:ascii="Times New Roman" w:eastAsia="Times New Roman" w:hAnsi="Times New Roman" w:cs="Times New Roman"/>
                <w:color w:val="000000" w:themeColor="text1"/>
                <w:sz w:val="22"/>
                <w:szCs w:val="22"/>
                <w:lang w:val="fr-CH"/>
              </w:rPr>
              <w:t>prevention</w:t>
            </w:r>
            <w:proofErr w:type="spellEnd"/>
            <w:r w:rsidRPr="249D2BBD">
              <w:rPr>
                <w:rFonts w:ascii="Times New Roman" w:eastAsia="Times New Roman" w:hAnsi="Times New Roman" w:cs="Times New Roman"/>
                <w:sz w:val="22"/>
                <w:szCs w:val="22"/>
              </w:rPr>
              <w:t>.</w:t>
            </w:r>
          </w:p>
          <w:p w14:paraId="6A7A9522" w14:textId="4007BD18"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249D2BBD">
              <w:rPr>
                <w:rFonts w:ascii="Times New Roman" w:eastAsia="Times New Roman" w:hAnsi="Times New Roman" w:cs="Times New Roman"/>
                <w:color w:val="000000" w:themeColor="text1"/>
                <w:sz w:val="22"/>
                <w:szCs w:val="22"/>
              </w:rPr>
              <w:t xml:space="preserve">Dialogue on promoting environment and health policies at local level in follow-up to the recent launch of the WHO </w:t>
            </w:r>
            <w:hyperlink r:id="rId15">
              <w:r w:rsidRPr="249D2BBD">
                <w:rPr>
                  <w:rStyle w:val="Hyperlink"/>
                  <w:rFonts w:ascii="Times New Roman" w:hAnsi="Times New Roman" w:cs="Times New Roman"/>
                  <w:sz w:val="22"/>
                  <w:szCs w:val="22"/>
                </w:rPr>
                <w:t>publication</w:t>
              </w:r>
            </w:hyperlink>
            <w:r w:rsidRPr="249D2BBD">
              <w:rPr>
                <w:rFonts w:ascii="Times New Roman" w:eastAsia="Times New Roman" w:hAnsi="Times New Roman" w:cs="Times New Roman"/>
                <w:color w:val="000000" w:themeColor="text1"/>
                <w:sz w:val="22"/>
                <w:szCs w:val="22"/>
              </w:rPr>
              <w:t>.</w:t>
            </w:r>
          </w:p>
          <w:p w14:paraId="28B8B175" w14:textId="04FAA178"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 xml:space="preserve">Dialogue on the uptake and impact of the WHO environmental noise guidelines for the WHO European Region </w:t>
            </w:r>
            <w:hyperlink r:id="rId16">
              <w:r w:rsidRPr="249D2BBD">
                <w:rPr>
                  <w:rStyle w:val="Hyperlink"/>
                  <w:rFonts w:ascii="Times New Roman" w:hAnsi="Times New Roman" w:cs="Times New Roman"/>
                  <w:sz w:val="22"/>
                  <w:szCs w:val="22"/>
                </w:rPr>
                <w:t>publication</w:t>
              </w:r>
            </w:hyperlink>
            <w:r w:rsidR="55A1983F" w:rsidRPr="6A23F548">
              <w:rPr>
                <w:rFonts w:ascii="Times New Roman" w:eastAsia="Times New Roman" w:hAnsi="Times New Roman" w:cs="Times New Roman"/>
                <w:sz w:val="22"/>
                <w:szCs w:val="22"/>
              </w:rPr>
              <w:t>.</w:t>
            </w:r>
          </w:p>
          <w:p w14:paraId="507CAAB2" w14:textId="77777777"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Dialogue on health-related priorities in chemical safety – focus on poison centres.</w:t>
            </w:r>
          </w:p>
          <w:p w14:paraId="59AD5CA8" w14:textId="0B1E0D1D"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249D2BBD">
              <w:rPr>
                <w:rFonts w:ascii="Times New Roman" w:eastAsia="Times New Roman" w:hAnsi="Times New Roman" w:cs="Times New Roman"/>
                <w:sz w:val="22"/>
                <w:szCs w:val="22"/>
              </w:rPr>
              <w:t xml:space="preserve">Dialogue on human biomonitoring: importance for protecting human health from negative impacts of chemicals following the recent launch of the WHO </w:t>
            </w:r>
            <w:hyperlink r:id="rId17">
              <w:r w:rsidRPr="249D2BBD">
                <w:rPr>
                  <w:rStyle w:val="Hyperlink"/>
                  <w:rFonts w:ascii="Times New Roman" w:hAnsi="Times New Roman" w:cs="Times New Roman"/>
                  <w:sz w:val="22"/>
                  <w:szCs w:val="22"/>
                </w:rPr>
                <w:t>publication</w:t>
              </w:r>
            </w:hyperlink>
            <w:r w:rsidR="55A1983F" w:rsidRPr="6A23F548">
              <w:rPr>
                <w:rFonts w:ascii="Times New Roman" w:eastAsia="Times New Roman" w:hAnsi="Times New Roman" w:cs="Times New Roman"/>
                <w:sz w:val="22"/>
                <w:szCs w:val="22"/>
              </w:rPr>
              <w:t>.</w:t>
            </w:r>
          </w:p>
          <w:p w14:paraId="2AA5FBC0" w14:textId="14C014AA"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 xml:space="preserve">Dialogue on Environmentally </w:t>
            </w:r>
            <w:r w:rsidR="00150080">
              <w:rPr>
                <w:rFonts w:ascii="Times New Roman" w:eastAsia="Times New Roman" w:hAnsi="Times New Roman" w:cs="Times New Roman"/>
                <w:color w:val="000000" w:themeColor="text1"/>
                <w:sz w:val="22"/>
                <w:szCs w:val="22"/>
              </w:rPr>
              <w:t>S</w:t>
            </w:r>
            <w:r w:rsidRPr="16F7A599">
              <w:rPr>
                <w:rFonts w:ascii="Times New Roman" w:eastAsia="Times New Roman" w:hAnsi="Times New Roman" w:cs="Times New Roman"/>
                <w:color w:val="000000" w:themeColor="text1"/>
                <w:sz w:val="22"/>
                <w:szCs w:val="22"/>
              </w:rPr>
              <w:t>ustainable Health Systems.</w:t>
            </w:r>
          </w:p>
          <w:p w14:paraId="3CB7B4D0" w14:textId="619FC894"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contaminated sites and health.</w:t>
            </w:r>
          </w:p>
          <w:p w14:paraId="6EA07503" w14:textId="62AF7743" w:rsidR="00333662" w:rsidRPr="00333662" w:rsidRDefault="00333662" w:rsidP="00333662">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lastRenderedPageBreak/>
              <w:t>Dialogue with a subregional focus (e.g., Central Asia and Western Balkans, linked to the WHO Roadmaps).</w:t>
            </w:r>
          </w:p>
          <w:p w14:paraId="230F13EC" w14:textId="64E92AB0" w:rsidR="00333662" w:rsidRPr="00176577" w:rsidRDefault="00333662" w:rsidP="00176577">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color w:val="000000" w:themeColor="text1"/>
                <w:sz w:val="22"/>
                <w:szCs w:val="22"/>
              </w:rPr>
              <w:t>Dialogue on environmental health inequalities.</w:t>
            </w:r>
          </w:p>
          <w:p w14:paraId="3B82F476" w14:textId="1599ACF0" w:rsidR="00924D1D" w:rsidRPr="00333662" w:rsidRDefault="00924D1D" w:rsidP="00924D1D">
            <w:pPr>
              <w:pStyle w:val="ListParagraph"/>
              <w:numPr>
                <w:ilvl w:val="0"/>
                <w:numId w:val="27"/>
              </w:numPr>
              <w:spacing w:before="80" w:after="80" w:line="259" w:lineRule="auto"/>
              <w:jc w:val="both"/>
              <w:rPr>
                <w:rFonts w:ascii="Times New Roman" w:eastAsia="Times New Roman" w:hAnsi="Times New Roman" w:cs="Times New Roman"/>
                <w:color w:val="000000" w:themeColor="text1"/>
                <w:sz w:val="22"/>
                <w:szCs w:val="22"/>
              </w:rPr>
            </w:pPr>
            <w:r w:rsidRPr="16F7A599">
              <w:rPr>
                <w:rFonts w:ascii="Times New Roman" w:eastAsia="Times New Roman" w:hAnsi="Times New Roman" w:cs="Times New Roman"/>
                <w:color w:val="000000" w:themeColor="text1"/>
                <w:sz w:val="22"/>
                <w:szCs w:val="22"/>
              </w:rPr>
              <w:t>Dialogue on nature-based solutions and health (22 May 2025 (International Day for Biological Diversity)).</w:t>
            </w:r>
          </w:p>
          <w:p w14:paraId="540E1686" w14:textId="1526506F" w:rsidR="00924D1D" w:rsidRPr="00CC7A25" w:rsidRDefault="00924D1D" w:rsidP="16F7A599">
            <w:pPr>
              <w:pStyle w:val="ListParagraph"/>
              <w:numPr>
                <w:ilvl w:val="0"/>
                <w:numId w:val="27"/>
              </w:numPr>
              <w:spacing w:before="80" w:after="80" w:line="259" w:lineRule="auto"/>
              <w:jc w:val="both"/>
              <w:textAlignment w:val="baseline"/>
              <w:rPr>
                <w:rFonts w:ascii="Times New Roman" w:eastAsia="Times New Roman" w:hAnsi="Times New Roman" w:cs="Times New Roman"/>
                <w:sz w:val="22"/>
                <w:szCs w:val="22"/>
                <w:lang w:val="fr-CH"/>
              </w:rPr>
            </w:pPr>
            <w:r w:rsidRPr="16F7A599">
              <w:rPr>
                <w:rFonts w:ascii="Times New Roman" w:eastAsia="Times New Roman" w:hAnsi="Times New Roman" w:cs="Times New Roman"/>
                <w:color w:val="000000" w:themeColor="text1"/>
                <w:sz w:val="22"/>
                <w:szCs w:val="22"/>
                <w:lang w:val="fr-CH"/>
              </w:rPr>
              <w:t xml:space="preserve">Dialogue on Professional </w:t>
            </w:r>
            <w:r w:rsidR="00A32DB7">
              <w:rPr>
                <w:rFonts w:ascii="Times New Roman" w:eastAsia="Times New Roman" w:hAnsi="Times New Roman" w:cs="Times New Roman"/>
                <w:color w:val="000000" w:themeColor="text1"/>
                <w:sz w:val="22"/>
                <w:szCs w:val="22"/>
                <w:lang w:val="fr-CH"/>
              </w:rPr>
              <w:t>P</w:t>
            </w:r>
            <w:r w:rsidRPr="16F7A599">
              <w:rPr>
                <w:rFonts w:ascii="Times New Roman" w:eastAsia="Times New Roman" w:hAnsi="Times New Roman" w:cs="Times New Roman"/>
                <w:color w:val="000000" w:themeColor="text1"/>
                <w:sz w:val="22"/>
                <w:szCs w:val="22"/>
                <w:lang w:val="fr-CH"/>
              </w:rPr>
              <w:t>rofiles</w:t>
            </w:r>
            <w:r w:rsidR="00176577">
              <w:rPr>
                <w:rFonts w:ascii="Times New Roman" w:eastAsia="Times New Roman" w:hAnsi="Times New Roman" w:cs="Times New Roman"/>
                <w:color w:val="000000" w:themeColor="text1"/>
                <w:sz w:val="22"/>
                <w:szCs w:val="22"/>
                <w:lang w:val="fr-CH"/>
              </w:rPr>
              <w:t>.</w:t>
            </w:r>
          </w:p>
          <w:p w14:paraId="28372E0F" w14:textId="608D541C" w:rsidR="00924D1D" w:rsidRPr="00924D1D" w:rsidRDefault="00924D1D" w:rsidP="00924D1D">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Dialogue on the aspects related to water and sanitation in preparation of the Seventh session of the Meeting of the Parties to the Protocol on Water and Health.</w:t>
            </w:r>
          </w:p>
          <w:p w14:paraId="38015520" w14:textId="182136FB" w:rsidR="00333662" w:rsidRPr="00924D1D" w:rsidRDefault="00924D1D" w:rsidP="00924D1D">
            <w:pPr>
              <w:pStyle w:val="ListParagraph"/>
              <w:numPr>
                <w:ilvl w:val="0"/>
                <w:numId w:val="27"/>
              </w:numPr>
              <w:spacing w:before="80" w:after="80" w:line="259" w:lineRule="auto"/>
              <w:jc w:val="both"/>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Dialogue on climate change and health in preparation of the COP30.</w:t>
            </w:r>
          </w:p>
        </w:tc>
      </w:tr>
      <w:tr w:rsidR="006C40FF" w:rsidRPr="006C40FF" w14:paraId="625AA9E5" w14:textId="77777777" w:rsidTr="16F7A599">
        <w:trPr>
          <w:trHeight w:val="300"/>
        </w:trPr>
        <w:tc>
          <w:tcPr>
            <w:tcW w:w="1635" w:type="dxa"/>
            <w:shd w:val="clear" w:color="auto" w:fill="DEEAF6" w:themeFill="accent1" w:themeFillTint="33"/>
            <w:hideMark/>
          </w:tcPr>
          <w:p w14:paraId="7008C6EF" w14:textId="6973B39C"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37589110">
              <w:rPr>
                <w:rFonts w:ascii="Times New Roman" w:eastAsia="Times New Roman" w:hAnsi="Times New Roman" w:cs="Times New Roman"/>
                <w:b/>
                <w:bCs/>
                <w:sz w:val="22"/>
                <w:szCs w:val="22"/>
              </w:rPr>
              <w:lastRenderedPageBreak/>
              <w:t>Frequency</w:t>
            </w:r>
          </w:p>
        </w:tc>
        <w:tc>
          <w:tcPr>
            <w:tcW w:w="7695" w:type="dxa"/>
            <w:hideMark/>
          </w:tcPr>
          <w:p w14:paraId="1BC4A780" w14:textId="2EE33E55"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 xml:space="preserve">The frequency could fall within a range of approximately every four months. </w:t>
            </w:r>
            <w:r w:rsidR="00B83896" w:rsidRPr="16F7A599">
              <w:rPr>
                <w:rFonts w:ascii="Times New Roman" w:eastAsia="Times New Roman" w:hAnsi="Times New Roman" w:cs="Times New Roman"/>
                <w:sz w:val="22"/>
                <w:szCs w:val="22"/>
              </w:rPr>
              <w:t>T</w:t>
            </w:r>
            <w:r w:rsidRPr="16F7A599">
              <w:rPr>
                <w:rFonts w:ascii="Times New Roman" w:eastAsia="Times New Roman" w:hAnsi="Times New Roman" w:cs="Times New Roman"/>
                <w:sz w:val="22"/>
                <w:szCs w:val="22"/>
              </w:rPr>
              <w:t xml:space="preserve">he specific dates </w:t>
            </w:r>
            <w:r w:rsidR="00B74276" w:rsidRPr="16F7A599">
              <w:rPr>
                <w:rFonts w:ascii="Times New Roman" w:eastAsia="Times New Roman" w:hAnsi="Times New Roman" w:cs="Times New Roman"/>
                <w:sz w:val="22"/>
                <w:szCs w:val="22"/>
              </w:rPr>
              <w:t xml:space="preserve">will be confirmed about two months before the event. </w:t>
            </w:r>
          </w:p>
        </w:tc>
      </w:tr>
      <w:tr w:rsidR="006C40FF" w:rsidRPr="006C40FF" w14:paraId="63343AC0" w14:textId="77777777" w:rsidTr="16F7A599">
        <w:trPr>
          <w:trHeight w:val="300"/>
        </w:trPr>
        <w:tc>
          <w:tcPr>
            <w:tcW w:w="1635" w:type="dxa"/>
            <w:shd w:val="clear" w:color="auto" w:fill="DEEAF6" w:themeFill="accent1" w:themeFillTint="33"/>
            <w:hideMark/>
          </w:tcPr>
          <w:p w14:paraId="7040BD1E" w14:textId="5999E114" w:rsidR="006C40FF" w:rsidRDefault="006C40FF" w:rsidP="37589110">
            <w:pPr>
              <w:spacing w:before="80" w:after="80" w:line="259" w:lineRule="auto"/>
              <w:jc w:val="both"/>
              <w:textAlignment w:val="baseline"/>
              <w:rPr>
                <w:rFonts w:ascii="Times New Roman" w:eastAsia="Times New Roman" w:hAnsi="Times New Roman" w:cs="Times New Roman"/>
                <w:b/>
                <w:bCs/>
                <w:sz w:val="22"/>
                <w:szCs w:val="22"/>
              </w:rPr>
            </w:pPr>
            <w:r w:rsidRPr="16F7A599">
              <w:rPr>
                <w:rFonts w:ascii="Times New Roman" w:eastAsia="Times New Roman" w:hAnsi="Times New Roman" w:cs="Times New Roman"/>
                <w:b/>
                <w:bCs/>
                <w:sz w:val="22"/>
                <w:szCs w:val="22"/>
              </w:rPr>
              <w:t>Format</w:t>
            </w:r>
          </w:p>
          <w:p w14:paraId="4B34B292" w14:textId="171DB349"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p>
        </w:tc>
        <w:tc>
          <w:tcPr>
            <w:tcW w:w="7695" w:type="dxa"/>
            <w:hideMark/>
          </w:tcPr>
          <w:p w14:paraId="3FB378F6" w14:textId="4B31DF08" w:rsidR="006C40FF" w:rsidRPr="006C40FF" w:rsidRDefault="006C40FF" w:rsidP="00177CC5">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A virtual format of 1.5–2 hours.</w:t>
            </w:r>
            <w:r w:rsidRPr="16F7A599" w:rsidDel="00580AEC">
              <w:rPr>
                <w:rFonts w:ascii="Times New Roman" w:eastAsia="Times New Roman" w:hAnsi="Times New Roman" w:cs="Times New Roman"/>
                <w:sz w:val="22"/>
                <w:szCs w:val="22"/>
              </w:rPr>
              <w:t xml:space="preserve"> </w:t>
            </w:r>
            <w:r w:rsidR="00177CC5" w:rsidRPr="16F7A599">
              <w:rPr>
                <w:rFonts w:ascii="Times New Roman" w:eastAsia="Times New Roman" w:hAnsi="Times New Roman" w:cs="Times New Roman"/>
                <w:sz w:val="22"/>
                <w:szCs w:val="22"/>
              </w:rPr>
              <w:t>Hybrid or in-person Dialogue could also be arranged, necessitating extra resource.</w:t>
            </w:r>
            <w:r w:rsidR="00956167" w:rsidRPr="16F7A599">
              <w:rPr>
                <w:rFonts w:ascii="Times New Roman" w:eastAsia="Times New Roman" w:hAnsi="Times New Roman" w:cs="Times New Roman"/>
                <w:sz w:val="22"/>
                <w:szCs w:val="22"/>
              </w:rPr>
              <w:t xml:space="preserve"> </w:t>
            </w:r>
          </w:p>
        </w:tc>
      </w:tr>
      <w:tr w:rsidR="00177CC5" w:rsidRPr="006C40FF" w14:paraId="5004F75D" w14:textId="77777777" w:rsidTr="16F7A599">
        <w:trPr>
          <w:trHeight w:val="300"/>
        </w:trPr>
        <w:tc>
          <w:tcPr>
            <w:tcW w:w="1635" w:type="dxa"/>
            <w:shd w:val="clear" w:color="auto" w:fill="DEEAF6" w:themeFill="accent1" w:themeFillTint="33"/>
          </w:tcPr>
          <w:p w14:paraId="74164311" w14:textId="101D088B" w:rsidR="00177CC5" w:rsidRPr="37589110" w:rsidRDefault="00177CC5" w:rsidP="37589110">
            <w:pPr>
              <w:spacing w:before="80" w:after="80" w:line="259" w:lineRule="auto"/>
              <w:jc w:val="both"/>
              <w:textAlignment w:val="baseline"/>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Language</w:t>
            </w:r>
          </w:p>
        </w:tc>
        <w:tc>
          <w:tcPr>
            <w:tcW w:w="7695" w:type="dxa"/>
          </w:tcPr>
          <w:p w14:paraId="1517E04F" w14:textId="2788518F" w:rsidR="00177CC5" w:rsidRPr="37589110" w:rsidRDefault="00177CC5" w:rsidP="00177CC5">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sz w:val="22"/>
                <w:szCs w:val="22"/>
              </w:rPr>
              <w:t>English with simultaneous interpretation into Russian.</w:t>
            </w:r>
          </w:p>
        </w:tc>
      </w:tr>
      <w:tr w:rsidR="006C40FF" w:rsidRPr="006C40FF" w14:paraId="6461A847" w14:textId="77777777" w:rsidTr="16F7A599">
        <w:trPr>
          <w:trHeight w:val="675"/>
        </w:trPr>
        <w:tc>
          <w:tcPr>
            <w:tcW w:w="1635" w:type="dxa"/>
            <w:shd w:val="clear" w:color="auto" w:fill="DEEAF6" w:themeFill="accent1" w:themeFillTint="33"/>
            <w:hideMark/>
          </w:tcPr>
          <w:p w14:paraId="65BEB93B" w14:textId="19020E26" w:rsidR="006C40FF" w:rsidRPr="006C40FF" w:rsidRDefault="006C40FF" w:rsidP="37589110">
            <w:pPr>
              <w:spacing w:before="80" w:after="80" w:line="259" w:lineRule="auto"/>
              <w:jc w:val="both"/>
              <w:textAlignment w:val="baseline"/>
              <w:rPr>
                <w:rFonts w:ascii="Times New Roman" w:eastAsia="Times New Roman" w:hAnsi="Times New Roman" w:cs="Times New Roman"/>
                <w:sz w:val="22"/>
                <w:szCs w:val="22"/>
              </w:rPr>
            </w:pPr>
            <w:r w:rsidRPr="16F7A599">
              <w:rPr>
                <w:rFonts w:ascii="Times New Roman" w:eastAsia="Times New Roman" w:hAnsi="Times New Roman" w:cs="Times New Roman"/>
                <w:b/>
                <w:bCs/>
                <w:sz w:val="22"/>
                <w:szCs w:val="22"/>
              </w:rPr>
              <w:t>Resources needed</w:t>
            </w:r>
          </w:p>
        </w:tc>
        <w:tc>
          <w:tcPr>
            <w:tcW w:w="7695" w:type="dxa"/>
            <w:hideMark/>
          </w:tcPr>
          <w:p w14:paraId="60D4F256" w14:textId="38D30A9B" w:rsidR="006C40FF" w:rsidRPr="006C40FF" w:rsidRDefault="009A50BB" w:rsidP="37589110">
            <w:pPr>
              <w:spacing w:before="80" w:after="80" w:line="259" w:lineRule="auto"/>
              <w:jc w:val="both"/>
              <w:textAlignment w:val="baseline"/>
              <w:rPr>
                <w:rFonts w:ascii="Times New Roman" w:eastAsia="Times New Roman" w:hAnsi="Times New Roman" w:cs="Times New Roman"/>
                <w:sz w:val="22"/>
                <w:szCs w:val="22"/>
              </w:rPr>
            </w:pPr>
            <w:r w:rsidRPr="009A50BB">
              <w:rPr>
                <w:rFonts w:ascii="Times New Roman" w:eastAsia="Times New Roman" w:hAnsi="Times New Roman" w:cs="Times New Roman"/>
                <w:sz w:val="22"/>
                <w:szCs w:val="22"/>
              </w:rPr>
              <w:t>Costs to hold six virtual Bonn Dialogues in 2024-2025 are estimated in ca 30,000 USD if held virtually (ca. 5,000 each to cover interpretation costs and communications material). Resource mobilization efforts are needed to identify funds.</w:t>
            </w:r>
          </w:p>
        </w:tc>
      </w:tr>
    </w:tbl>
    <w:p w14:paraId="081CAE31" w14:textId="4DD5E3B8" w:rsidR="00820333" w:rsidRDefault="00820333" w:rsidP="003D797A">
      <w:pPr>
        <w:pStyle w:val="Heading1"/>
        <w:spacing w:before="120" w:after="120" w:line="259" w:lineRule="auto"/>
        <w:rPr>
          <w:lang w:val="en-GB"/>
        </w:rPr>
      </w:pPr>
      <w:bookmarkStart w:id="8" w:name="_Toc164096699"/>
      <w:r w:rsidRPr="2BFC280C">
        <w:rPr>
          <w:lang w:val="en-GB"/>
        </w:rPr>
        <w:t xml:space="preserve">4. </w:t>
      </w:r>
      <w:r w:rsidR="00414A53" w:rsidRPr="00414A53">
        <w:rPr>
          <w:lang w:val="en-GB"/>
        </w:rPr>
        <w:t>Support</w:t>
      </w:r>
      <w:r w:rsidR="005B15D2">
        <w:rPr>
          <w:lang w:val="en-GB"/>
        </w:rPr>
        <w:t>ING</w:t>
      </w:r>
      <w:r w:rsidR="00414A53" w:rsidRPr="00414A53">
        <w:rPr>
          <w:lang w:val="en-GB"/>
        </w:rPr>
        <w:t xml:space="preserve"> Member States</w:t>
      </w:r>
      <w:r w:rsidR="005B15D2">
        <w:rPr>
          <w:lang w:val="en-GB"/>
        </w:rPr>
        <w:t>:</w:t>
      </w:r>
      <w:r w:rsidR="003161A7">
        <w:rPr>
          <w:lang w:val="en-GB"/>
        </w:rPr>
        <w:t xml:space="preserve"> enabling implementation</w:t>
      </w:r>
      <w:r w:rsidR="00417517">
        <w:rPr>
          <w:lang w:val="en-GB"/>
        </w:rPr>
        <w:t xml:space="preserve"> THROUGH GOVERNANCE, RESOURCES, </w:t>
      </w:r>
      <w:proofErr w:type="gramStart"/>
      <w:r w:rsidR="00417517">
        <w:rPr>
          <w:lang w:val="en-GB"/>
        </w:rPr>
        <w:t>KNOWLEDGE</w:t>
      </w:r>
      <w:proofErr w:type="gramEnd"/>
      <w:r w:rsidR="00417517">
        <w:rPr>
          <w:lang w:val="en-GB"/>
        </w:rPr>
        <w:t xml:space="preserve"> AND SUPPORT</w:t>
      </w:r>
      <w:bookmarkEnd w:id="8"/>
    </w:p>
    <w:p w14:paraId="4E95416D" w14:textId="1D139685" w:rsidR="005D362E" w:rsidRDefault="000F6D2E" w:rsidP="005D362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A</w:t>
      </w:r>
      <w:r w:rsidR="009D5471" w:rsidRPr="51F8B297">
        <w:rPr>
          <w:rFonts w:ascii="Times New Roman" w:hAnsi="Times New Roman" w:cs="Times New Roman"/>
          <w:sz w:val="24"/>
          <w:szCs w:val="24"/>
          <w:lang w:val="en-GB"/>
        </w:rPr>
        <w:t xml:space="preserve">ctions </w:t>
      </w:r>
      <w:r w:rsidRPr="51F8B297">
        <w:rPr>
          <w:rFonts w:ascii="Times New Roman" w:hAnsi="Times New Roman" w:cs="Times New Roman"/>
          <w:sz w:val="24"/>
          <w:szCs w:val="24"/>
          <w:lang w:val="en-GB"/>
        </w:rPr>
        <w:t xml:space="preserve">to facilitate implementation </w:t>
      </w:r>
      <w:r w:rsidR="00287DD1" w:rsidRPr="51F8B297">
        <w:rPr>
          <w:rFonts w:ascii="Times New Roman" w:hAnsi="Times New Roman" w:cs="Times New Roman"/>
          <w:sz w:val="24"/>
          <w:szCs w:val="24"/>
          <w:lang w:val="en-GB"/>
        </w:rPr>
        <w:t xml:space="preserve">stem directly from the </w:t>
      </w:r>
      <w:proofErr w:type="gramStart"/>
      <w:r w:rsidR="00287DD1" w:rsidRPr="51F8B297">
        <w:rPr>
          <w:rFonts w:ascii="Times New Roman" w:hAnsi="Times New Roman" w:cs="Times New Roman"/>
          <w:sz w:val="24"/>
          <w:szCs w:val="24"/>
          <w:lang w:val="en-GB"/>
        </w:rPr>
        <w:t>Roadmap</w:t>
      </w:r>
      <w:proofErr w:type="gramEnd"/>
      <w:r w:rsidR="00287DD1" w:rsidRPr="51F8B297">
        <w:rPr>
          <w:rFonts w:ascii="Times New Roman" w:hAnsi="Times New Roman" w:cs="Times New Roman"/>
          <w:sz w:val="24"/>
          <w:szCs w:val="24"/>
          <w:lang w:val="en-GB"/>
        </w:rPr>
        <w:t xml:space="preserve"> </w:t>
      </w:r>
      <w:r w:rsidR="00FD3F7D">
        <w:rPr>
          <w:rFonts w:ascii="Times New Roman" w:hAnsi="Times New Roman" w:cs="Times New Roman"/>
          <w:sz w:val="24"/>
          <w:szCs w:val="24"/>
          <w:lang w:val="en-GB"/>
        </w:rPr>
        <w:t xml:space="preserve">to 2030 </w:t>
      </w:r>
      <w:r w:rsidR="00287DD1" w:rsidRPr="51F8B297">
        <w:rPr>
          <w:rFonts w:ascii="Times New Roman" w:hAnsi="Times New Roman" w:cs="Times New Roman"/>
          <w:sz w:val="24"/>
          <w:szCs w:val="24"/>
          <w:lang w:val="en-GB"/>
        </w:rPr>
        <w:t>and are</w:t>
      </w:r>
      <w:r w:rsidR="009D5471" w:rsidRPr="51F8B297">
        <w:rPr>
          <w:rFonts w:ascii="Times New Roman" w:hAnsi="Times New Roman" w:cs="Times New Roman"/>
          <w:sz w:val="24"/>
          <w:szCs w:val="24"/>
          <w:lang w:val="en-GB"/>
        </w:rPr>
        <w:t xml:space="preserve"> intended </w:t>
      </w:r>
      <w:r w:rsidRPr="51F8B297">
        <w:rPr>
          <w:rFonts w:ascii="Times New Roman" w:hAnsi="Times New Roman" w:cs="Times New Roman"/>
          <w:sz w:val="24"/>
          <w:szCs w:val="24"/>
          <w:lang w:val="en-GB"/>
        </w:rPr>
        <w:t>to</w:t>
      </w:r>
      <w:r w:rsidR="009D5471" w:rsidRPr="51F8B297">
        <w:rPr>
          <w:rFonts w:ascii="Times New Roman" w:hAnsi="Times New Roman" w:cs="Times New Roman"/>
          <w:sz w:val="24"/>
          <w:szCs w:val="24"/>
          <w:lang w:val="en-GB"/>
        </w:rPr>
        <w:t xml:space="preserve"> </w:t>
      </w:r>
      <w:r w:rsidR="00DA49C7" w:rsidRPr="51F8B297">
        <w:rPr>
          <w:rFonts w:ascii="Times New Roman" w:hAnsi="Times New Roman" w:cs="Times New Roman"/>
          <w:sz w:val="24"/>
          <w:szCs w:val="24"/>
          <w:lang w:val="en-GB"/>
        </w:rPr>
        <w:t>accelerat</w:t>
      </w:r>
      <w:r w:rsidRPr="51F8B297">
        <w:rPr>
          <w:rFonts w:ascii="Times New Roman" w:hAnsi="Times New Roman" w:cs="Times New Roman"/>
          <w:sz w:val="24"/>
          <w:szCs w:val="24"/>
          <w:lang w:val="en-GB"/>
        </w:rPr>
        <w:t>e</w:t>
      </w:r>
      <w:r w:rsidR="000066AC" w:rsidRPr="51F8B297">
        <w:rPr>
          <w:rFonts w:ascii="Times New Roman" w:hAnsi="Times New Roman" w:cs="Times New Roman"/>
          <w:sz w:val="24"/>
          <w:szCs w:val="24"/>
          <w:lang w:val="en-GB"/>
        </w:rPr>
        <w:t xml:space="preserve"> </w:t>
      </w:r>
      <w:r w:rsidR="009D5471" w:rsidRPr="51F8B297">
        <w:rPr>
          <w:rFonts w:ascii="Times New Roman" w:hAnsi="Times New Roman" w:cs="Times New Roman"/>
          <w:sz w:val="24"/>
          <w:szCs w:val="24"/>
          <w:lang w:val="en-GB"/>
        </w:rPr>
        <w:t xml:space="preserve">progress in </w:t>
      </w:r>
      <w:r w:rsidR="005A1C6E">
        <w:rPr>
          <w:rFonts w:ascii="Times New Roman" w:hAnsi="Times New Roman" w:cs="Times New Roman"/>
          <w:sz w:val="24"/>
          <w:szCs w:val="24"/>
          <w:lang w:val="en-GB"/>
        </w:rPr>
        <w:t>addressing</w:t>
      </w:r>
      <w:r w:rsidR="009D5471" w:rsidRPr="51F8B297">
        <w:rPr>
          <w:rFonts w:ascii="Times New Roman" w:hAnsi="Times New Roman" w:cs="Times New Roman"/>
          <w:sz w:val="24"/>
          <w:szCs w:val="24"/>
          <w:lang w:val="en-GB"/>
        </w:rPr>
        <w:t xml:space="preserve"> health impacts arising from climate change, environmental pollution and biodiversity loss</w:t>
      </w:r>
      <w:r w:rsidR="005B0CF0">
        <w:rPr>
          <w:rFonts w:ascii="Times New Roman" w:hAnsi="Times New Roman" w:cs="Times New Roman"/>
          <w:sz w:val="24"/>
          <w:szCs w:val="24"/>
          <w:lang w:val="en-GB"/>
        </w:rPr>
        <w:t>. These actions focus on</w:t>
      </w:r>
      <w:r w:rsidR="00DA49C7" w:rsidRPr="51F8B297">
        <w:rPr>
          <w:rFonts w:ascii="Times New Roman" w:hAnsi="Times New Roman" w:cs="Times New Roman"/>
          <w:sz w:val="24"/>
          <w:szCs w:val="24"/>
          <w:lang w:val="en-GB"/>
        </w:rPr>
        <w:t xml:space="preserve"> </w:t>
      </w:r>
      <w:r w:rsidR="0068756B" w:rsidRPr="51F8B297">
        <w:rPr>
          <w:rFonts w:ascii="Times New Roman" w:hAnsi="Times New Roman" w:cs="Times New Roman"/>
          <w:sz w:val="24"/>
          <w:szCs w:val="24"/>
          <w:lang w:val="en-GB"/>
        </w:rPr>
        <w:t>strengthening</w:t>
      </w:r>
      <w:r w:rsidR="00DA49C7" w:rsidRPr="51F8B297">
        <w:rPr>
          <w:rFonts w:ascii="Times New Roman" w:hAnsi="Times New Roman" w:cs="Times New Roman"/>
          <w:sz w:val="24"/>
          <w:szCs w:val="24"/>
          <w:lang w:val="en-GB"/>
        </w:rPr>
        <w:t xml:space="preserve"> </w:t>
      </w:r>
      <w:r w:rsidR="009D5471" w:rsidRPr="51F8B297">
        <w:rPr>
          <w:rFonts w:ascii="Times New Roman" w:hAnsi="Times New Roman" w:cs="Times New Roman"/>
          <w:sz w:val="24"/>
          <w:szCs w:val="24"/>
          <w:lang w:val="en-GB"/>
        </w:rPr>
        <w:t xml:space="preserve">governance, </w:t>
      </w:r>
      <w:r w:rsidR="00C42E6C" w:rsidRPr="51F8B297">
        <w:rPr>
          <w:rFonts w:ascii="Times New Roman" w:hAnsi="Times New Roman" w:cs="Times New Roman"/>
          <w:sz w:val="24"/>
          <w:szCs w:val="24"/>
          <w:lang w:val="en-GB"/>
        </w:rPr>
        <w:t xml:space="preserve">increasing </w:t>
      </w:r>
      <w:r w:rsidR="009D5471" w:rsidRPr="51F8B297">
        <w:rPr>
          <w:rFonts w:ascii="Times New Roman" w:hAnsi="Times New Roman" w:cs="Times New Roman"/>
          <w:sz w:val="24"/>
          <w:szCs w:val="24"/>
          <w:lang w:val="en-GB"/>
        </w:rPr>
        <w:t xml:space="preserve">human </w:t>
      </w:r>
      <w:r w:rsidR="00C42E6C" w:rsidRPr="51F8B297">
        <w:rPr>
          <w:rFonts w:ascii="Times New Roman" w:hAnsi="Times New Roman" w:cs="Times New Roman"/>
          <w:sz w:val="24"/>
          <w:szCs w:val="24"/>
          <w:lang w:val="en-GB"/>
        </w:rPr>
        <w:t xml:space="preserve">and financial </w:t>
      </w:r>
      <w:r w:rsidR="009D5471" w:rsidRPr="51F8B297">
        <w:rPr>
          <w:rFonts w:ascii="Times New Roman" w:hAnsi="Times New Roman" w:cs="Times New Roman"/>
          <w:sz w:val="24"/>
          <w:szCs w:val="24"/>
          <w:lang w:val="en-GB"/>
        </w:rPr>
        <w:t xml:space="preserve">resources, </w:t>
      </w:r>
      <w:r w:rsidR="00C42E6C" w:rsidRPr="51F8B297">
        <w:rPr>
          <w:rFonts w:ascii="Times New Roman" w:hAnsi="Times New Roman" w:cs="Times New Roman"/>
          <w:sz w:val="24"/>
          <w:szCs w:val="24"/>
          <w:lang w:val="en-GB"/>
        </w:rPr>
        <w:t xml:space="preserve">improving </w:t>
      </w:r>
      <w:r w:rsidR="009D5471" w:rsidRPr="51F8B297">
        <w:rPr>
          <w:rFonts w:ascii="Times New Roman" w:hAnsi="Times New Roman" w:cs="Times New Roman"/>
          <w:sz w:val="24"/>
          <w:szCs w:val="24"/>
          <w:lang w:val="en-GB"/>
        </w:rPr>
        <w:t xml:space="preserve">knowledge </w:t>
      </w:r>
      <w:r w:rsidR="003F7B29" w:rsidRPr="51F8B297">
        <w:rPr>
          <w:rFonts w:ascii="Times New Roman" w:hAnsi="Times New Roman" w:cs="Times New Roman"/>
          <w:sz w:val="24"/>
          <w:szCs w:val="24"/>
          <w:lang w:val="en-GB"/>
        </w:rPr>
        <w:t xml:space="preserve">and bolstering research </w:t>
      </w:r>
      <w:r w:rsidR="009D5471" w:rsidRPr="51F8B297">
        <w:rPr>
          <w:rFonts w:ascii="Times New Roman" w:hAnsi="Times New Roman" w:cs="Times New Roman"/>
          <w:sz w:val="24"/>
          <w:szCs w:val="24"/>
          <w:lang w:val="en-GB"/>
        </w:rPr>
        <w:t>in the fields of health and environment.</w:t>
      </w:r>
    </w:p>
    <w:p w14:paraId="3E4153CF" w14:textId="4A1D1167" w:rsidR="0045156B" w:rsidRPr="002A48AF" w:rsidRDefault="005D362E" w:rsidP="002A48AF">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5D362E">
        <w:rPr>
          <w:rFonts w:ascii="Times New Roman" w:hAnsi="Times New Roman" w:cs="Times New Roman"/>
          <w:sz w:val="24"/>
          <w:szCs w:val="24"/>
          <w:lang w:val="en-GB"/>
        </w:rPr>
        <w:t xml:space="preserve">The following activities aim to empower environment and health leaders and professionals </w:t>
      </w:r>
      <w:r w:rsidR="008E54E6">
        <w:rPr>
          <w:rFonts w:ascii="Times New Roman" w:hAnsi="Times New Roman" w:cs="Times New Roman"/>
          <w:sz w:val="24"/>
          <w:szCs w:val="24"/>
          <w:lang w:val="en-GB"/>
        </w:rPr>
        <w:t xml:space="preserve">in countries </w:t>
      </w:r>
      <w:r w:rsidRPr="005D362E">
        <w:rPr>
          <w:rFonts w:ascii="Times New Roman" w:hAnsi="Times New Roman" w:cs="Times New Roman"/>
          <w:sz w:val="24"/>
          <w:szCs w:val="24"/>
          <w:lang w:val="en-GB"/>
        </w:rPr>
        <w:t>with the necessary mandates, knowledge, and tools. This involves prioritizing the translation of research and innovation into actionable solutions at an accelerated pace.</w:t>
      </w:r>
      <w:r w:rsidR="002A48AF">
        <w:rPr>
          <w:rFonts w:ascii="Times New Roman" w:hAnsi="Times New Roman" w:cs="Times New Roman"/>
          <w:sz w:val="24"/>
          <w:szCs w:val="24"/>
          <w:lang w:val="en-GB"/>
        </w:rPr>
        <w:t xml:space="preserve"> </w:t>
      </w:r>
      <w:r w:rsidR="002A48AF" w:rsidRPr="249D2BBD">
        <w:rPr>
          <w:rFonts w:ascii="Times New Roman" w:hAnsi="Times New Roman" w:cs="Times New Roman"/>
          <w:sz w:val="24"/>
          <w:szCs w:val="24"/>
          <w:lang w:val="en-GB"/>
        </w:rPr>
        <w:t xml:space="preserve">The WHO European Centre for Environment and Health will work together with Member States, </w:t>
      </w:r>
      <w:r w:rsidR="008E25B6">
        <w:rPr>
          <w:rFonts w:ascii="Times New Roman" w:hAnsi="Times New Roman" w:cs="Times New Roman"/>
          <w:sz w:val="24"/>
          <w:szCs w:val="24"/>
          <w:lang w:val="en-GB"/>
        </w:rPr>
        <w:t xml:space="preserve">and partners </w:t>
      </w:r>
      <w:r w:rsidR="002A48AF" w:rsidRPr="249D2BBD">
        <w:rPr>
          <w:rFonts w:ascii="Times New Roman" w:hAnsi="Times New Roman" w:cs="Times New Roman"/>
          <w:sz w:val="24"/>
          <w:szCs w:val="24"/>
          <w:lang w:val="en-GB"/>
        </w:rPr>
        <w:t xml:space="preserve">informing and guiding them in the use of tools, normative documents, guidance, </w:t>
      </w:r>
      <w:proofErr w:type="gramStart"/>
      <w:r w:rsidR="002A48AF" w:rsidRPr="249D2BBD">
        <w:rPr>
          <w:rFonts w:ascii="Times New Roman" w:hAnsi="Times New Roman" w:cs="Times New Roman"/>
          <w:sz w:val="24"/>
          <w:szCs w:val="24"/>
          <w:lang w:val="en-GB"/>
        </w:rPr>
        <w:t>assessment</w:t>
      </w:r>
      <w:proofErr w:type="gramEnd"/>
      <w:r w:rsidR="002A48AF" w:rsidRPr="249D2BBD">
        <w:rPr>
          <w:rFonts w:ascii="Times New Roman" w:hAnsi="Times New Roman" w:cs="Times New Roman"/>
          <w:sz w:val="24"/>
          <w:szCs w:val="24"/>
          <w:lang w:val="en-GB"/>
        </w:rPr>
        <w:t xml:space="preserve"> and technical briefings, addressing the issues outlined in the Budapest Declaration.</w:t>
      </w:r>
    </w:p>
    <w:p w14:paraId="4A7EBCCE" w14:textId="354666F8" w:rsidR="00374E1B" w:rsidRDefault="0045156B"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proofErr w:type="gramStart"/>
      <w:r w:rsidRPr="0045156B">
        <w:rPr>
          <w:rFonts w:ascii="Times New Roman" w:hAnsi="Times New Roman" w:cs="Times New Roman"/>
          <w:sz w:val="24"/>
          <w:szCs w:val="24"/>
          <w:lang w:val="en-GB"/>
        </w:rPr>
        <w:t>In order to</w:t>
      </w:r>
      <w:proofErr w:type="gramEnd"/>
      <w:r w:rsidRPr="0045156B">
        <w:rPr>
          <w:rFonts w:ascii="Times New Roman" w:hAnsi="Times New Roman" w:cs="Times New Roman"/>
          <w:sz w:val="24"/>
          <w:szCs w:val="24"/>
          <w:lang w:val="en-GB"/>
        </w:rPr>
        <w:t xml:space="preserve"> support national and multisectoral policy dialogues, exchanges of experiences among countries and in-country action, with the aim to facilitate the implementation of Budapest commitments, </w:t>
      </w:r>
      <w:r w:rsidRPr="004D2766">
        <w:rPr>
          <w:rFonts w:ascii="Times New Roman" w:hAnsi="Times New Roman" w:cs="Times New Roman"/>
          <w:sz w:val="24"/>
          <w:szCs w:val="24"/>
          <w:lang w:val="en-GB"/>
        </w:rPr>
        <w:t xml:space="preserve">the </w:t>
      </w:r>
      <w:r w:rsidR="005F66F7" w:rsidRPr="004D2766">
        <w:rPr>
          <w:rFonts w:ascii="Times New Roman" w:hAnsi="Times New Roman" w:cs="Times New Roman"/>
          <w:sz w:val="24"/>
          <w:szCs w:val="24"/>
          <w:lang w:val="en-GB"/>
        </w:rPr>
        <w:t>Execu</w:t>
      </w:r>
      <w:r w:rsidR="00E95CD8" w:rsidRPr="004D2766">
        <w:rPr>
          <w:rFonts w:ascii="Times New Roman" w:hAnsi="Times New Roman" w:cs="Times New Roman"/>
          <w:sz w:val="24"/>
          <w:szCs w:val="24"/>
          <w:lang w:val="en-GB"/>
        </w:rPr>
        <w:t>tive Officers</w:t>
      </w:r>
      <w:r w:rsidRPr="004D2766">
        <w:rPr>
          <w:rFonts w:ascii="Times New Roman" w:hAnsi="Times New Roman" w:cs="Times New Roman"/>
          <w:sz w:val="24"/>
          <w:szCs w:val="24"/>
          <w:lang w:val="en-GB"/>
        </w:rPr>
        <w:t xml:space="preserve"> </w:t>
      </w:r>
      <w:r w:rsidR="00C724A5" w:rsidRPr="004D2766">
        <w:rPr>
          <w:rFonts w:ascii="Times New Roman" w:hAnsi="Times New Roman" w:cs="Times New Roman"/>
          <w:sz w:val="24"/>
          <w:szCs w:val="24"/>
          <w:lang w:val="en-GB"/>
        </w:rPr>
        <w:t>Meeting on Governance and Capacity for Environment and Health</w:t>
      </w:r>
      <w:r w:rsidR="00C724A5" w:rsidRPr="0045156B">
        <w:rPr>
          <w:rFonts w:ascii="Times New Roman" w:hAnsi="Times New Roman" w:cs="Times New Roman"/>
          <w:sz w:val="24"/>
          <w:szCs w:val="24"/>
          <w:lang w:val="en-GB"/>
        </w:rPr>
        <w:t xml:space="preserve"> </w:t>
      </w:r>
      <w:r w:rsidRPr="0045156B">
        <w:rPr>
          <w:rFonts w:ascii="Times New Roman" w:hAnsi="Times New Roman" w:cs="Times New Roman"/>
          <w:sz w:val="24"/>
          <w:szCs w:val="24"/>
          <w:lang w:val="en-GB"/>
        </w:rPr>
        <w:t xml:space="preserve">will be held in </w:t>
      </w:r>
      <w:r w:rsidR="00F81D03">
        <w:rPr>
          <w:rFonts w:ascii="Times New Roman" w:hAnsi="Times New Roman" w:cs="Times New Roman"/>
          <w:sz w:val="24"/>
          <w:szCs w:val="24"/>
          <w:lang w:val="en-GB"/>
        </w:rPr>
        <w:t xml:space="preserve">December </w:t>
      </w:r>
      <w:r w:rsidRPr="0045156B">
        <w:rPr>
          <w:rFonts w:ascii="Times New Roman" w:hAnsi="Times New Roman" w:cs="Times New Roman"/>
          <w:sz w:val="24"/>
          <w:szCs w:val="24"/>
          <w:lang w:val="en-GB"/>
        </w:rPr>
        <w:t>2024 (</w:t>
      </w:r>
      <w:r w:rsidRPr="0045156B">
        <w:rPr>
          <w:rFonts w:ascii="Times New Roman" w:hAnsi="Times New Roman" w:cs="Times New Roman"/>
          <w:i/>
          <w:iCs/>
          <w:sz w:val="24"/>
          <w:szCs w:val="24"/>
          <w:lang w:val="en-GB"/>
        </w:rPr>
        <w:t>ref. Budapest Declaration, Annex 1, para. 75</w:t>
      </w:r>
      <w:r w:rsidRPr="0045156B">
        <w:rPr>
          <w:rFonts w:ascii="Times New Roman" w:hAnsi="Times New Roman" w:cs="Times New Roman"/>
          <w:sz w:val="24"/>
          <w:szCs w:val="24"/>
          <w:lang w:val="en-GB"/>
        </w:rPr>
        <w:t xml:space="preserve">). The EHTF will actively </w:t>
      </w:r>
      <w:r w:rsidR="001C3419">
        <w:rPr>
          <w:rFonts w:ascii="Times New Roman" w:hAnsi="Times New Roman" w:cs="Times New Roman"/>
          <w:sz w:val="24"/>
          <w:szCs w:val="24"/>
          <w:lang w:val="en-GB"/>
        </w:rPr>
        <w:t>contr</w:t>
      </w:r>
      <w:r w:rsidR="00E279D4">
        <w:rPr>
          <w:rFonts w:ascii="Times New Roman" w:hAnsi="Times New Roman" w:cs="Times New Roman"/>
          <w:sz w:val="24"/>
          <w:szCs w:val="24"/>
          <w:lang w:val="en-GB"/>
        </w:rPr>
        <w:t>ibute</w:t>
      </w:r>
      <w:r w:rsidR="001C3419" w:rsidRPr="0045156B">
        <w:rPr>
          <w:rFonts w:ascii="Times New Roman" w:hAnsi="Times New Roman" w:cs="Times New Roman"/>
          <w:sz w:val="24"/>
          <w:szCs w:val="24"/>
          <w:lang w:val="en-GB"/>
        </w:rPr>
        <w:t xml:space="preserve"> </w:t>
      </w:r>
      <w:r w:rsidRPr="0045156B">
        <w:rPr>
          <w:rFonts w:ascii="Times New Roman" w:hAnsi="Times New Roman" w:cs="Times New Roman"/>
          <w:sz w:val="24"/>
          <w:szCs w:val="24"/>
          <w:lang w:val="en-GB"/>
        </w:rPr>
        <w:t>to the Conference and will promote its outcomes at national level.</w:t>
      </w:r>
    </w:p>
    <w:p w14:paraId="7DA1CCED" w14:textId="2994FBF6" w:rsidR="00656022" w:rsidRDefault="007871F9"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74E1B">
        <w:rPr>
          <w:rFonts w:ascii="Times New Roman" w:hAnsi="Times New Roman" w:cs="Times New Roman"/>
          <w:sz w:val="24"/>
          <w:szCs w:val="24"/>
          <w:lang w:val="en-GB"/>
        </w:rPr>
        <w:t>The</w:t>
      </w:r>
      <w:r w:rsidR="00656022" w:rsidRPr="249D2BBD">
        <w:rPr>
          <w:rFonts w:ascii="Times New Roman" w:hAnsi="Times New Roman" w:cs="Times New Roman"/>
          <w:sz w:val="24"/>
          <w:szCs w:val="24"/>
          <w:lang w:val="en-GB"/>
        </w:rPr>
        <w:t xml:space="preserve"> </w:t>
      </w:r>
      <w:bookmarkStart w:id="9" w:name="_Hlk160195876"/>
      <w:r w:rsidR="00656022" w:rsidRPr="249D2BBD">
        <w:rPr>
          <w:rFonts w:ascii="Times New Roman" w:hAnsi="Times New Roman" w:cs="Times New Roman"/>
          <w:sz w:val="24"/>
          <w:szCs w:val="24"/>
          <w:lang w:val="en-GB"/>
        </w:rPr>
        <w:t xml:space="preserve">high-level Conference on One Health </w:t>
      </w:r>
      <w:bookmarkEnd w:id="9"/>
      <w:r w:rsidR="00887506">
        <w:rPr>
          <w:rFonts w:ascii="Times New Roman" w:hAnsi="Times New Roman" w:cs="Times New Roman"/>
          <w:sz w:val="24"/>
          <w:szCs w:val="24"/>
          <w:lang w:val="en-GB"/>
        </w:rPr>
        <w:t xml:space="preserve">which </w:t>
      </w:r>
      <w:r w:rsidR="00656022" w:rsidRPr="249D2BBD">
        <w:rPr>
          <w:rFonts w:ascii="Times New Roman" w:hAnsi="Times New Roman" w:cs="Times New Roman"/>
          <w:sz w:val="24"/>
          <w:szCs w:val="24"/>
          <w:lang w:val="en-GB"/>
        </w:rPr>
        <w:t xml:space="preserve">will be held </w:t>
      </w:r>
      <w:r w:rsidR="00945886">
        <w:rPr>
          <w:rFonts w:ascii="Times New Roman" w:hAnsi="Times New Roman" w:cs="Times New Roman"/>
          <w:sz w:val="24"/>
          <w:szCs w:val="24"/>
          <w:lang w:val="en-GB"/>
        </w:rPr>
        <w:t xml:space="preserve">on </w:t>
      </w:r>
      <w:r w:rsidR="00945886" w:rsidRPr="00945886">
        <w:rPr>
          <w:rFonts w:ascii="Times New Roman" w:hAnsi="Times New Roman" w:cs="Times New Roman"/>
          <w:sz w:val="24"/>
          <w:szCs w:val="24"/>
          <w:lang w:val="en-GB"/>
        </w:rPr>
        <w:t>11</w:t>
      </w:r>
      <w:r w:rsidR="00945886">
        <w:rPr>
          <w:rFonts w:ascii="Symbol" w:eastAsia="Symbol" w:hAnsi="Symbol" w:cs="Symbol"/>
          <w:sz w:val="24"/>
          <w:szCs w:val="24"/>
          <w:lang w:val="en-GB"/>
        </w:rPr>
        <w:t>-</w:t>
      </w:r>
      <w:r w:rsidR="00945886" w:rsidRPr="00945886">
        <w:rPr>
          <w:rFonts w:ascii="Times New Roman" w:hAnsi="Times New Roman" w:cs="Times New Roman"/>
          <w:sz w:val="24"/>
          <w:szCs w:val="24"/>
          <w:lang w:val="en-GB"/>
        </w:rPr>
        <w:t>13 June 2024</w:t>
      </w:r>
      <w:r w:rsidR="00945886">
        <w:rPr>
          <w:rFonts w:ascii="Times New Roman" w:hAnsi="Times New Roman" w:cs="Times New Roman"/>
          <w:sz w:val="24"/>
          <w:szCs w:val="24"/>
          <w:lang w:val="en-GB"/>
        </w:rPr>
        <w:t xml:space="preserve"> </w:t>
      </w:r>
      <w:r w:rsidR="00656022" w:rsidRPr="249D2BBD">
        <w:rPr>
          <w:rFonts w:ascii="Times New Roman" w:hAnsi="Times New Roman" w:cs="Times New Roman"/>
          <w:sz w:val="24"/>
          <w:szCs w:val="24"/>
          <w:lang w:val="en-GB"/>
        </w:rPr>
        <w:t xml:space="preserve">in </w:t>
      </w:r>
      <w:r w:rsidR="00945886">
        <w:rPr>
          <w:rFonts w:ascii="Times New Roman" w:hAnsi="Times New Roman" w:cs="Times New Roman"/>
          <w:sz w:val="24"/>
          <w:szCs w:val="24"/>
          <w:lang w:val="en-GB"/>
        </w:rPr>
        <w:t>Vienna, Austria</w:t>
      </w:r>
      <w:r w:rsidR="00FD3F7D" w:rsidRPr="249D2BBD">
        <w:rPr>
          <w:rFonts w:ascii="Times New Roman" w:hAnsi="Times New Roman" w:cs="Times New Roman"/>
          <w:sz w:val="24"/>
          <w:szCs w:val="24"/>
          <w:lang w:val="en-GB"/>
        </w:rPr>
        <w:t xml:space="preserve"> (</w:t>
      </w:r>
      <w:r w:rsidR="00FD3F7D" w:rsidRPr="249D2BBD">
        <w:rPr>
          <w:rFonts w:ascii="Times New Roman" w:hAnsi="Times New Roman" w:cs="Times New Roman"/>
          <w:i/>
          <w:iCs/>
          <w:sz w:val="24"/>
          <w:szCs w:val="24"/>
          <w:lang w:val="en-GB"/>
        </w:rPr>
        <w:t>ref. Budapest Declaration, Annex 1, para. 38</w:t>
      </w:r>
      <w:r w:rsidR="00FD3F7D" w:rsidRPr="249D2BBD">
        <w:rPr>
          <w:rFonts w:ascii="Times New Roman" w:hAnsi="Times New Roman" w:cs="Times New Roman"/>
          <w:sz w:val="24"/>
          <w:szCs w:val="24"/>
          <w:lang w:val="en-GB"/>
        </w:rPr>
        <w:t>)</w:t>
      </w:r>
      <w:r w:rsidR="00656022" w:rsidRPr="249D2BBD">
        <w:rPr>
          <w:rFonts w:ascii="Times New Roman" w:hAnsi="Times New Roman" w:cs="Times New Roman"/>
          <w:sz w:val="24"/>
          <w:szCs w:val="24"/>
          <w:lang w:val="en-GB"/>
        </w:rPr>
        <w:t xml:space="preserve">, </w:t>
      </w:r>
      <w:r w:rsidR="00887506">
        <w:rPr>
          <w:rFonts w:ascii="Times New Roman" w:hAnsi="Times New Roman" w:cs="Times New Roman"/>
          <w:sz w:val="24"/>
          <w:szCs w:val="24"/>
          <w:lang w:val="en-GB"/>
        </w:rPr>
        <w:t xml:space="preserve">will be </w:t>
      </w:r>
      <w:r w:rsidR="00656022" w:rsidRPr="249D2BBD">
        <w:rPr>
          <w:rFonts w:ascii="Times New Roman" w:hAnsi="Times New Roman" w:cs="Times New Roman"/>
          <w:sz w:val="24"/>
          <w:szCs w:val="24"/>
          <w:lang w:val="en-GB"/>
        </w:rPr>
        <w:t xml:space="preserve">providing the opportunity for EHTF members to </w:t>
      </w:r>
      <w:r w:rsidR="00A0489A" w:rsidRPr="56B6E223">
        <w:rPr>
          <w:rFonts w:ascii="Times New Roman" w:hAnsi="Times New Roman" w:cs="Times New Roman"/>
          <w:sz w:val="24"/>
          <w:szCs w:val="24"/>
          <w:lang w:val="en-GB"/>
        </w:rPr>
        <w:t>foster</w:t>
      </w:r>
      <w:r w:rsidR="00A0489A">
        <w:rPr>
          <w:rFonts w:ascii="Times New Roman" w:hAnsi="Times New Roman" w:cs="Times New Roman"/>
          <w:sz w:val="24"/>
          <w:szCs w:val="24"/>
          <w:lang w:val="en-GB"/>
        </w:rPr>
        <w:t xml:space="preserve"> practical exchange</w:t>
      </w:r>
      <w:r w:rsidR="00656022" w:rsidRPr="249D2BBD">
        <w:rPr>
          <w:rFonts w:ascii="Times New Roman" w:hAnsi="Times New Roman" w:cs="Times New Roman"/>
          <w:sz w:val="24"/>
          <w:szCs w:val="24"/>
          <w:lang w:val="en-GB"/>
        </w:rPr>
        <w:t xml:space="preserve"> and perspective on how to apply the One Health approach to tackle environment and health issues.</w:t>
      </w:r>
      <w:r w:rsidR="00EF64EE">
        <w:rPr>
          <w:rFonts w:ascii="Times New Roman" w:hAnsi="Times New Roman" w:cs="Times New Roman"/>
          <w:sz w:val="24"/>
          <w:szCs w:val="24"/>
          <w:lang w:val="en-GB"/>
        </w:rPr>
        <w:t xml:space="preserve"> </w:t>
      </w:r>
      <w:r w:rsidR="007F3661" w:rsidRPr="007F3661">
        <w:rPr>
          <w:rFonts w:ascii="Times New Roman" w:hAnsi="Times New Roman" w:cs="Times New Roman"/>
          <w:sz w:val="24"/>
          <w:szCs w:val="24"/>
          <w:lang w:val="en-GB"/>
        </w:rPr>
        <w:t xml:space="preserve">This </w:t>
      </w:r>
      <w:r w:rsidR="007F3661">
        <w:rPr>
          <w:rFonts w:ascii="Times New Roman" w:hAnsi="Times New Roman" w:cs="Times New Roman"/>
          <w:sz w:val="24"/>
          <w:szCs w:val="24"/>
          <w:lang w:val="en-GB"/>
        </w:rPr>
        <w:t>C</w:t>
      </w:r>
      <w:r w:rsidR="007F3661" w:rsidRPr="007F3661">
        <w:rPr>
          <w:rFonts w:ascii="Times New Roman" w:hAnsi="Times New Roman" w:cs="Times New Roman"/>
          <w:sz w:val="24"/>
          <w:szCs w:val="24"/>
          <w:lang w:val="en-GB"/>
        </w:rPr>
        <w:t xml:space="preserve">onference is organized by the Quadripartite, which, in addition to WHO, consists of three </w:t>
      </w:r>
      <w:r w:rsidR="007F3661">
        <w:rPr>
          <w:rFonts w:ascii="Times New Roman" w:hAnsi="Times New Roman" w:cs="Times New Roman"/>
          <w:sz w:val="24"/>
          <w:szCs w:val="24"/>
          <w:lang w:val="en-GB"/>
        </w:rPr>
        <w:t>other</w:t>
      </w:r>
      <w:r w:rsidR="007F3661" w:rsidRPr="007F3661">
        <w:rPr>
          <w:rFonts w:ascii="Times New Roman" w:hAnsi="Times New Roman" w:cs="Times New Roman"/>
          <w:sz w:val="24"/>
          <w:szCs w:val="24"/>
          <w:lang w:val="en-GB"/>
        </w:rPr>
        <w:t xml:space="preserve"> agencies: the Food and Agriculture Organization of the United Nations, the United Nations Environment Programm</w:t>
      </w:r>
      <w:r w:rsidR="000C5E72">
        <w:rPr>
          <w:rFonts w:ascii="Times New Roman" w:hAnsi="Times New Roman" w:cs="Times New Roman"/>
          <w:sz w:val="24"/>
          <w:szCs w:val="24"/>
          <w:lang w:val="en-GB"/>
        </w:rPr>
        <w:t>e</w:t>
      </w:r>
      <w:r w:rsidR="007F3661" w:rsidRPr="007F3661">
        <w:rPr>
          <w:rFonts w:ascii="Times New Roman" w:hAnsi="Times New Roman" w:cs="Times New Roman"/>
          <w:sz w:val="24"/>
          <w:szCs w:val="24"/>
          <w:lang w:val="en-GB"/>
        </w:rPr>
        <w:t xml:space="preserve"> and the World Organisation for Animal Health</w:t>
      </w:r>
      <w:r w:rsidR="000C5E72">
        <w:rPr>
          <w:rFonts w:ascii="Times New Roman" w:hAnsi="Times New Roman" w:cs="Times New Roman"/>
          <w:sz w:val="24"/>
          <w:szCs w:val="24"/>
          <w:lang w:val="en-GB"/>
        </w:rPr>
        <w:t>.</w:t>
      </w:r>
    </w:p>
    <w:p w14:paraId="73839ED6" w14:textId="05569530" w:rsidR="00EA2551" w:rsidRPr="00356EB3" w:rsidRDefault="00EA2551"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bookmarkStart w:id="10" w:name="_Toc146284383"/>
      <w:r w:rsidRPr="249D2BBD">
        <w:rPr>
          <w:rFonts w:ascii="Times New Roman" w:hAnsi="Times New Roman" w:cs="Times New Roman"/>
          <w:sz w:val="24"/>
          <w:szCs w:val="24"/>
          <w:lang w:val="en-GB"/>
        </w:rPr>
        <w:lastRenderedPageBreak/>
        <w:t xml:space="preserve">Capacity building activities include further developments of the Bonn Environment and Health School, a flagship initiative that supports the strengthening of capacities in Member States to address persistent and emerging environment and health challenges, with an emphasis on the development of leadership for intersectoral </w:t>
      </w:r>
      <w:r w:rsidR="00656022" w:rsidRPr="249D2BBD">
        <w:rPr>
          <w:rFonts w:ascii="Times New Roman" w:hAnsi="Times New Roman" w:cs="Times New Roman"/>
          <w:sz w:val="24"/>
          <w:szCs w:val="24"/>
          <w:lang w:val="en-GB"/>
        </w:rPr>
        <w:t>policymaking</w:t>
      </w:r>
      <w:r w:rsidRPr="249D2BBD">
        <w:rPr>
          <w:rFonts w:ascii="Times New Roman" w:hAnsi="Times New Roman" w:cs="Times New Roman"/>
          <w:sz w:val="24"/>
          <w:szCs w:val="24"/>
          <w:lang w:val="en-GB"/>
        </w:rPr>
        <w:t xml:space="preserve"> and strengthening technical capacities. The Bonn School is expected to hold new courses in 2024</w:t>
      </w:r>
      <w:r w:rsidR="00FD3F7D" w:rsidRPr="249D2BBD">
        <w:rPr>
          <w:rFonts w:ascii="Symbol" w:eastAsia="Symbol" w:hAnsi="Symbol" w:cs="Symbol"/>
          <w:sz w:val="24"/>
          <w:szCs w:val="24"/>
          <w:lang w:val="en-GB"/>
        </w:rPr>
        <w:t>-</w:t>
      </w:r>
      <w:r w:rsidRPr="249D2BBD">
        <w:rPr>
          <w:rFonts w:ascii="Times New Roman" w:hAnsi="Times New Roman" w:cs="Times New Roman"/>
          <w:sz w:val="24"/>
          <w:szCs w:val="24"/>
          <w:lang w:val="en-GB"/>
        </w:rPr>
        <w:t>2025.</w:t>
      </w:r>
    </w:p>
    <w:p w14:paraId="0BF0DAD4" w14:textId="5B4362C8" w:rsidR="0095785A" w:rsidRPr="000F0780" w:rsidRDefault="00EA2551" w:rsidP="000F0780">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EHTF can leverage the Bonn School on Environment and Health to review the existing professional profiles for environment and health </w:t>
      </w:r>
      <w:r w:rsidR="00D14F17" w:rsidRPr="00D14F17">
        <w:rPr>
          <w:rFonts w:ascii="Times New Roman" w:hAnsi="Times New Roman" w:cs="Times New Roman"/>
          <w:sz w:val="24"/>
          <w:szCs w:val="24"/>
        </w:rPr>
        <w:t>and produce recommendations by the end of 2025 to be considered by Member States for developing their own environment and health professional profile</w:t>
      </w:r>
      <w:r w:rsidR="00CE7119">
        <w:rPr>
          <w:rFonts w:ascii="Times New Roman" w:hAnsi="Times New Roman" w:cs="Times New Roman"/>
          <w:sz w:val="24"/>
          <w:szCs w:val="24"/>
          <w:lang w:val="en-US"/>
        </w:rPr>
        <w:t xml:space="preserve"> to improve the</w:t>
      </w:r>
      <w:r w:rsidRPr="249D2BBD">
        <w:rPr>
          <w:rFonts w:ascii="Times New Roman" w:hAnsi="Times New Roman" w:cs="Times New Roman"/>
          <w:sz w:val="24"/>
          <w:szCs w:val="24"/>
          <w:lang w:val="en-GB"/>
        </w:rPr>
        <w:t xml:space="preserve"> competencies for the environment and health workforce.</w:t>
      </w:r>
      <w:bookmarkEnd w:id="10"/>
      <w:r w:rsidR="000F0780">
        <w:rPr>
          <w:rFonts w:ascii="Times New Roman" w:hAnsi="Times New Roman" w:cs="Times New Roman"/>
          <w:sz w:val="24"/>
          <w:szCs w:val="24"/>
          <w:lang w:val="en-GB"/>
        </w:rPr>
        <w:t xml:space="preserve"> The Bonn School initiative provides </w:t>
      </w:r>
      <w:r w:rsidR="0095785A" w:rsidRPr="000F0780">
        <w:rPr>
          <w:rFonts w:ascii="Times New Roman" w:hAnsi="Times New Roman" w:cs="Times New Roman"/>
          <w:sz w:val="24"/>
          <w:szCs w:val="24"/>
        </w:rPr>
        <w:t>opportunities for sharing scientific information and knowledge on the interlinkages between the degradation of ecosystems, climate change and biodiversity loss, and the emergence and spread of infectious diseases</w:t>
      </w:r>
      <w:r w:rsidR="000F0780">
        <w:rPr>
          <w:rFonts w:ascii="Times New Roman" w:hAnsi="Times New Roman" w:cs="Times New Roman"/>
          <w:sz w:val="24"/>
          <w:szCs w:val="24"/>
          <w:lang w:val="en-US"/>
        </w:rPr>
        <w:t>.</w:t>
      </w:r>
    </w:p>
    <w:p w14:paraId="4F53482B" w14:textId="4CA3F1C8" w:rsidR="00820333" w:rsidRDefault="00820333" w:rsidP="37589110">
      <w:pPr>
        <w:pStyle w:val="Heading1"/>
        <w:rPr>
          <w:lang w:val="en-GB"/>
        </w:rPr>
      </w:pPr>
      <w:bookmarkStart w:id="11" w:name="_Toc164096700"/>
      <w:r w:rsidRPr="2BFC280C">
        <w:rPr>
          <w:lang w:val="en-GB"/>
        </w:rPr>
        <w:t>5. Joint action and partnerships</w:t>
      </w:r>
      <w:bookmarkEnd w:id="11"/>
    </w:p>
    <w:p w14:paraId="49048691" w14:textId="689A56FE" w:rsidR="00820333" w:rsidRDefault="00820333" w:rsidP="00DB08FA">
      <w:pPr>
        <w:pStyle w:val="Heading2"/>
        <w:numPr>
          <w:ilvl w:val="1"/>
          <w:numId w:val="33"/>
        </w:numPr>
        <w:rPr>
          <w:lang w:val="en-GB"/>
        </w:rPr>
      </w:pPr>
      <w:bookmarkStart w:id="12" w:name="_Toc164096701"/>
      <w:r w:rsidRPr="2BFC280C">
        <w:rPr>
          <w:lang w:val="en-GB"/>
        </w:rPr>
        <w:t>The EHP Partnerships</w:t>
      </w:r>
      <w:bookmarkEnd w:id="12"/>
    </w:p>
    <w:p w14:paraId="6AB170B5" w14:textId="77777777" w:rsidR="00CD6520" w:rsidRDefault="00ED228D" w:rsidP="00CD6520">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Member States committed to work together </w:t>
      </w:r>
      <w:r w:rsidR="002D0A76" w:rsidRPr="249D2BBD">
        <w:rPr>
          <w:rFonts w:ascii="Times New Roman" w:hAnsi="Times New Roman" w:cs="Times New Roman"/>
          <w:sz w:val="24"/>
          <w:szCs w:val="24"/>
          <w:lang w:val="en-GB"/>
        </w:rPr>
        <w:t xml:space="preserve">and </w:t>
      </w:r>
      <w:r w:rsidRPr="249D2BBD">
        <w:rPr>
          <w:rFonts w:ascii="Times New Roman" w:hAnsi="Times New Roman" w:cs="Times New Roman"/>
          <w:sz w:val="24"/>
          <w:szCs w:val="24"/>
          <w:lang w:val="en-GB"/>
        </w:rPr>
        <w:t xml:space="preserve">with relevant partners and stakeholders to strengthen the implementation of </w:t>
      </w:r>
      <w:r w:rsidR="00FD3F7D" w:rsidRPr="249D2BBD">
        <w:rPr>
          <w:rFonts w:ascii="Times New Roman" w:hAnsi="Times New Roman" w:cs="Times New Roman"/>
          <w:sz w:val="24"/>
          <w:szCs w:val="24"/>
          <w:lang w:val="en-GB"/>
        </w:rPr>
        <w:t xml:space="preserve">Budapest </w:t>
      </w:r>
      <w:r w:rsidRPr="249D2BBD">
        <w:rPr>
          <w:rFonts w:ascii="Times New Roman" w:hAnsi="Times New Roman" w:cs="Times New Roman"/>
          <w:sz w:val="24"/>
          <w:szCs w:val="24"/>
          <w:lang w:val="en-GB"/>
        </w:rPr>
        <w:t>commitments</w:t>
      </w:r>
      <w:r w:rsidR="00FD3F7D" w:rsidRPr="249D2BBD">
        <w:rPr>
          <w:rFonts w:ascii="Times New Roman" w:hAnsi="Times New Roman" w:cs="Times New Roman"/>
          <w:sz w:val="24"/>
          <w:szCs w:val="24"/>
          <w:lang w:val="en-GB"/>
        </w:rPr>
        <w:t xml:space="preserve"> (</w:t>
      </w:r>
      <w:r w:rsidR="00FD3F7D" w:rsidRPr="249D2BBD">
        <w:rPr>
          <w:rFonts w:ascii="Times New Roman" w:hAnsi="Times New Roman" w:cs="Times New Roman"/>
          <w:i/>
          <w:iCs/>
          <w:sz w:val="24"/>
          <w:szCs w:val="24"/>
          <w:lang w:val="en-GB"/>
        </w:rPr>
        <w:t xml:space="preserve">see para. </w:t>
      </w:r>
      <w:r w:rsidR="00FD3F7D" w:rsidRPr="00787983">
        <w:rPr>
          <w:rFonts w:ascii="Times New Roman" w:hAnsi="Times New Roman" w:cs="Times New Roman"/>
          <w:i/>
          <w:iCs/>
          <w:sz w:val="24"/>
          <w:szCs w:val="24"/>
          <w:lang w:val="en-GB"/>
        </w:rPr>
        <w:t>13</w:t>
      </w:r>
      <w:r w:rsidR="00FD3F7D" w:rsidRPr="249D2BBD">
        <w:rPr>
          <w:rFonts w:ascii="Times New Roman" w:hAnsi="Times New Roman" w:cs="Times New Roman"/>
          <w:sz w:val="24"/>
          <w:szCs w:val="24"/>
          <w:lang w:val="en-GB"/>
        </w:rPr>
        <w:t>)</w:t>
      </w:r>
      <w:r w:rsidR="002D0A76" w:rsidRPr="249D2BBD">
        <w:rPr>
          <w:rFonts w:ascii="Times New Roman" w:hAnsi="Times New Roman" w:cs="Times New Roman"/>
          <w:sz w:val="24"/>
          <w:szCs w:val="24"/>
          <w:lang w:val="en-GB"/>
        </w:rPr>
        <w:t>.</w:t>
      </w:r>
      <w:r w:rsidR="00320C15">
        <w:t xml:space="preserve"> </w:t>
      </w:r>
      <w:r w:rsidR="00320C15" w:rsidRPr="249D2BBD">
        <w:rPr>
          <w:rFonts w:ascii="Times New Roman" w:hAnsi="Times New Roman" w:cs="Times New Roman"/>
          <w:sz w:val="24"/>
          <w:szCs w:val="24"/>
          <w:lang w:val="en-GB"/>
        </w:rPr>
        <w:t xml:space="preserve">To this aim, </w:t>
      </w:r>
      <w:r w:rsidR="000156A5" w:rsidRPr="249D2BBD">
        <w:rPr>
          <w:rFonts w:ascii="Times New Roman" w:hAnsi="Times New Roman" w:cs="Times New Roman"/>
          <w:sz w:val="24"/>
          <w:szCs w:val="24"/>
          <w:lang w:val="en-GB"/>
        </w:rPr>
        <w:t xml:space="preserve">they launched </w:t>
      </w:r>
      <w:r w:rsidR="004B6C22" w:rsidRPr="249D2BBD">
        <w:rPr>
          <w:rFonts w:ascii="Times New Roman" w:hAnsi="Times New Roman" w:cs="Times New Roman"/>
          <w:sz w:val="24"/>
          <w:szCs w:val="24"/>
          <w:lang w:val="en-GB"/>
        </w:rPr>
        <w:t xml:space="preserve">a new implementation </w:t>
      </w:r>
      <w:r w:rsidR="00320C15" w:rsidRPr="249D2BBD">
        <w:rPr>
          <w:rFonts w:ascii="Times New Roman" w:hAnsi="Times New Roman" w:cs="Times New Roman"/>
          <w:sz w:val="24"/>
          <w:szCs w:val="24"/>
          <w:lang w:val="en-GB"/>
        </w:rPr>
        <w:t xml:space="preserve">mechanism </w:t>
      </w:r>
      <w:r w:rsidR="00A22FF0" w:rsidRPr="249D2BBD">
        <w:rPr>
          <w:rFonts w:ascii="Times New Roman" w:hAnsi="Times New Roman" w:cs="Times New Roman"/>
          <w:sz w:val="24"/>
          <w:szCs w:val="24"/>
          <w:lang w:val="en-GB"/>
        </w:rPr>
        <w:t>“EHP Partnerships”</w:t>
      </w:r>
      <w:r w:rsidR="00B862AA" w:rsidRPr="249D2BBD">
        <w:rPr>
          <w:rFonts w:ascii="Times New Roman" w:hAnsi="Times New Roman" w:cs="Times New Roman"/>
          <w:sz w:val="24"/>
          <w:szCs w:val="24"/>
          <w:lang w:val="en-GB"/>
        </w:rPr>
        <w:t xml:space="preserve"> which</w:t>
      </w:r>
      <w:r w:rsidR="00505FAA" w:rsidRPr="249D2BBD">
        <w:rPr>
          <w:rFonts w:ascii="Times New Roman" w:hAnsi="Times New Roman" w:cs="Times New Roman"/>
          <w:sz w:val="24"/>
          <w:szCs w:val="24"/>
          <w:lang w:val="en-GB"/>
        </w:rPr>
        <w:t xml:space="preserve"> offers</w:t>
      </w:r>
      <w:r w:rsidR="002E1CD5" w:rsidRPr="249D2BBD">
        <w:rPr>
          <w:rFonts w:ascii="Times New Roman" w:hAnsi="Times New Roman" w:cs="Times New Roman"/>
          <w:sz w:val="24"/>
          <w:szCs w:val="24"/>
          <w:lang w:val="en-GB"/>
        </w:rPr>
        <w:t xml:space="preserve"> Member States</w:t>
      </w:r>
      <w:r w:rsidR="001224B7" w:rsidRPr="249D2BBD">
        <w:rPr>
          <w:rFonts w:ascii="Times New Roman" w:hAnsi="Times New Roman" w:cs="Times New Roman"/>
          <w:sz w:val="24"/>
          <w:szCs w:val="24"/>
          <w:lang w:val="en-GB"/>
        </w:rPr>
        <w:t xml:space="preserve"> and</w:t>
      </w:r>
      <w:r w:rsidR="004F62B6" w:rsidRPr="249D2BBD">
        <w:rPr>
          <w:rFonts w:ascii="Times New Roman" w:hAnsi="Times New Roman" w:cs="Times New Roman"/>
          <w:sz w:val="24"/>
          <w:szCs w:val="24"/>
          <w:lang w:val="en-GB"/>
        </w:rPr>
        <w:t xml:space="preserve"> all</w:t>
      </w:r>
      <w:r w:rsidR="001224B7" w:rsidRPr="249D2BBD">
        <w:rPr>
          <w:rFonts w:ascii="Times New Roman" w:hAnsi="Times New Roman" w:cs="Times New Roman"/>
          <w:sz w:val="24"/>
          <w:szCs w:val="24"/>
          <w:lang w:val="en-GB"/>
        </w:rPr>
        <w:t xml:space="preserve"> EHP stakeholders</w:t>
      </w:r>
      <w:r w:rsidR="002E1CD5" w:rsidRPr="249D2BBD">
        <w:rPr>
          <w:rFonts w:ascii="Times New Roman" w:hAnsi="Times New Roman" w:cs="Times New Roman"/>
          <w:sz w:val="24"/>
          <w:szCs w:val="24"/>
          <w:lang w:val="en-GB"/>
        </w:rPr>
        <w:t xml:space="preserve"> the opportunity to collaborate on the voluntary basis on topics of common interest within the scope of the Budapest Declaration. </w:t>
      </w:r>
      <w:r w:rsidR="003D3D4B" w:rsidRPr="249D2BBD">
        <w:rPr>
          <w:rFonts w:ascii="Times New Roman" w:hAnsi="Times New Roman" w:cs="Times New Roman"/>
          <w:sz w:val="24"/>
          <w:szCs w:val="24"/>
          <w:lang w:val="en-GB"/>
        </w:rPr>
        <w:t>EHP Partnerships</w:t>
      </w:r>
      <w:r w:rsidR="003D3D4B" w:rsidRPr="249D2BBD" w:rsidDel="00966D2F">
        <w:rPr>
          <w:rFonts w:ascii="Times New Roman" w:hAnsi="Times New Roman" w:cs="Times New Roman"/>
          <w:sz w:val="24"/>
          <w:szCs w:val="24"/>
          <w:lang w:val="en-GB"/>
        </w:rPr>
        <w:t xml:space="preserve"> </w:t>
      </w:r>
      <w:r w:rsidR="003D3D4B" w:rsidRPr="249D2BBD">
        <w:rPr>
          <w:rFonts w:ascii="Times New Roman" w:hAnsi="Times New Roman" w:cs="Times New Roman"/>
          <w:sz w:val="24"/>
          <w:szCs w:val="24"/>
          <w:lang w:val="en-GB"/>
        </w:rPr>
        <w:t xml:space="preserve">serve </w:t>
      </w:r>
      <w:r w:rsidR="00227B2A" w:rsidRPr="249D2BBD">
        <w:rPr>
          <w:rFonts w:ascii="Times New Roman" w:hAnsi="Times New Roman" w:cs="Times New Roman"/>
          <w:sz w:val="24"/>
          <w:szCs w:val="24"/>
          <w:lang w:val="en-GB"/>
        </w:rPr>
        <w:t xml:space="preserve">as a practical, flexible theme- and action-oriented means to facilitate implementation of the Budapest </w:t>
      </w:r>
      <w:r w:rsidR="00966D2F">
        <w:rPr>
          <w:rFonts w:ascii="Times New Roman" w:hAnsi="Times New Roman" w:cs="Times New Roman"/>
          <w:sz w:val="24"/>
          <w:szCs w:val="24"/>
          <w:lang w:val="en-GB"/>
        </w:rPr>
        <w:t>commitments</w:t>
      </w:r>
      <w:r w:rsidR="000023FF" w:rsidRPr="249D2BBD">
        <w:rPr>
          <w:rFonts w:ascii="Times New Roman" w:hAnsi="Times New Roman" w:cs="Times New Roman"/>
          <w:sz w:val="24"/>
          <w:szCs w:val="24"/>
          <w:lang w:val="en-GB"/>
        </w:rPr>
        <w:t>.</w:t>
      </w:r>
    </w:p>
    <w:p w14:paraId="6992F217" w14:textId="7F695C83" w:rsidR="0086438A" w:rsidRPr="00CD6520" w:rsidDel="005500B1" w:rsidRDefault="005500B1" w:rsidP="00CD6520">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CD6520">
        <w:rPr>
          <w:rFonts w:ascii="Times New Roman" w:hAnsi="Times New Roman" w:cs="Times New Roman"/>
          <w:sz w:val="24"/>
          <w:szCs w:val="24"/>
          <w:lang w:val="en-GB"/>
        </w:rPr>
        <w:t>T</w:t>
      </w:r>
      <w:r w:rsidR="0086438A" w:rsidRPr="00CD6520">
        <w:rPr>
          <w:rFonts w:ascii="Times New Roman" w:hAnsi="Times New Roman" w:cs="Times New Roman"/>
          <w:sz w:val="24"/>
          <w:szCs w:val="24"/>
          <w:lang w:val="en-GB"/>
        </w:rPr>
        <w:t xml:space="preserve">he activities under the Partnerships could </w:t>
      </w:r>
      <w:r w:rsidR="0086438A" w:rsidRPr="00CD6520" w:rsidDel="001C5C54">
        <w:rPr>
          <w:rFonts w:ascii="Times New Roman" w:hAnsi="Times New Roman" w:cs="Times New Roman"/>
          <w:sz w:val="24"/>
          <w:szCs w:val="24"/>
          <w:lang w:val="en-GB"/>
        </w:rPr>
        <w:t xml:space="preserve">include </w:t>
      </w:r>
      <w:r w:rsidR="0086438A" w:rsidRPr="00CD6520">
        <w:rPr>
          <w:rFonts w:ascii="Times New Roman" w:hAnsi="Times New Roman" w:cs="Times New Roman"/>
          <w:sz w:val="24"/>
          <w:szCs w:val="24"/>
          <w:lang w:val="en-GB"/>
        </w:rPr>
        <w:t xml:space="preserve">projects, capacity building, trainings, events, dissemination and uptake of relevant WHO norms and standards, </w:t>
      </w:r>
      <w:r w:rsidR="0086438A" w:rsidRPr="00CD6520" w:rsidDel="00714865">
        <w:rPr>
          <w:rFonts w:ascii="Times New Roman" w:hAnsi="Times New Roman" w:cs="Times New Roman"/>
          <w:sz w:val="24"/>
          <w:szCs w:val="24"/>
          <w:lang w:val="en-GB"/>
        </w:rPr>
        <w:t>as well as of</w:t>
      </w:r>
      <w:r w:rsidR="0086438A" w:rsidRPr="00CD6520">
        <w:rPr>
          <w:rFonts w:ascii="Times New Roman" w:hAnsi="Times New Roman" w:cs="Times New Roman"/>
          <w:sz w:val="24"/>
          <w:szCs w:val="24"/>
          <w:lang w:val="en-GB"/>
        </w:rPr>
        <w:t xml:space="preserve"> tools and methods for assessing the health effects of environmental risk factors and monitor progress in addressing</w:t>
      </w:r>
      <w:r w:rsidR="00A12E0C">
        <w:rPr>
          <w:rFonts w:ascii="Times New Roman" w:hAnsi="Times New Roman" w:cs="Times New Roman"/>
          <w:sz w:val="24"/>
          <w:szCs w:val="24"/>
          <w:lang w:val="en-GB"/>
        </w:rPr>
        <w:t>.</w:t>
      </w:r>
    </w:p>
    <w:p w14:paraId="64D45248" w14:textId="77777777" w:rsidR="009754EA" w:rsidRPr="009754EA" w:rsidRDefault="009754EA" w:rsidP="00CC35A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 xml:space="preserve">According to the Terms of Reference for the EHP Partnerships included as an Annex in the Budapest Declaration, the EHP Partnerships can be initiated and led by Member States and recognised stakeholders, which are members of the EHTF. The Partnerships are established by decisions of the </w:t>
      </w:r>
      <w:proofErr w:type="gramStart"/>
      <w:r w:rsidRPr="56B6E223">
        <w:rPr>
          <w:rFonts w:ascii="Times New Roman" w:hAnsi="Times New Roman" w:cs="Times New Roman"/>
          <w:sz w:val="24"/>
          <w:szCs w:val="24"/>
          <w:lang w:val="en-GB"/>
        </w:rPr>
        <w:t>EHTF, and</w:t>
      </w:r>
      <w:proofErr w:type="gramEnd"/>
      <w:r w:rsidRPr="56B6E223">
        <w:rPr>
          <w:rFonts w:ascii="Times New Roman" w:hAnsi="Times New Roman" w:cs="Times New Roman"/>
          <w:sz w:val="24"/>
          <w:szCs w:val="24"/>
          <w:lang w:val="en-GB"/>
        </w:rPr>
        <w:t xml:space="preserve"> operate under the authority of the EHTF. EHP Partnerships should mainly be supported by their partners, through voluntary contributions that can be made available financially or in-kind.   </w:t>
      </w:r>
    </w:p>
    <w:p w14:paraId="7A036EB5" w14:textId="1729DCEA" w:rsidR="00010E7B" w:rsidRDefault="00010E7B" w:rsidP="00FD3F7D">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In Budapest, M</w:t>
      </w:r>
      <w:r w:rsidR="00656022" w:rsidRPr="249D2BBD">
        <w:rPr>
          <w:rFonts w:ascii="Times New Roman" w:hAnsi="Times New Roman" w:cs="Times New Roman"/>
          <w:sz w:val="24"/>
          <w:szCs w:val="24"/>
          <w:lang w:val="en-GB"/>
        </w:rPr>
        <w:t xml:space="preserve">ember </w:t>
      </w:r>
      <w:r w:rsidRPr="249D2BBD">
        <w:rPr>
          <w:rFonts w:ascii="Times New Roman" w:hAnsi="Times New Roman" w:cs="Times New Roman"/>
          <w:sz w:val="24"/>
          <w:szCs w:val="24"/>
          <w:lang w:val="en-GB"/>
        </w:rPr>
        <w:t>S</w:t>
      </w:r>
      <w:r w:rsidR="00656022" w:rsidRPr="249D2BBD">
        <w:rPr>
          <w:rFonts w:ascii="Times New Roman" w:hAnsi="Times New Roman" w:cs="Times New Roman"/>
          <w:sz w:val="24"/>
          <w:szCs w:val="24"/>
          <w:lang w:val="en-GB"/>
        </w:rPr>
        <w:t>tate</w:t>
      </w:r>
      <w:r w:rsidRPr="249D2BBD">
        <w:rPr>
          <w:rFonts w:ascii="Times New Roman" w:hAnsi="Times New Roman" w:cs="Times New Roman"/>
          <w:sz w:val="24"/>
          <w:szCs w:val="24"/>
          <w:lang w:val="en-GB"/>
        </w:rPr>
        <w:t>s launched four EHP Partnerships:</w:t>
      </w:r>
    </w:p>
    <w:p w14:paraId="6F208AC3" w14:textId="21361A10" w:rsidR="00FD3F7D" w:rsidRPr="00FD3F7D" w:rsidRDefault="00FD3F7D" w:rsidP="00FD3F7D">
      <w:pPr>
        <w:pStyle w:val="ListParagraph"/>
        <w:numPr>
          <w:ilvl w:val="0"/>
          <w:numId w:val="29"/>
        </w:numPr>
        <w:spacing w:before="120" w:after="120" w:line="259" w:lineRule="auto"/>
        <w:jc w:val="both"/>
        <w:rPr>
          <w:rFonts w:ascii="Times New Roman" w:hAnsi="Times New Roman" w:cs="Times New Roman"/>
          <w:sz w:val="24"/>
          <w:szCs w:val="24"/>
          <w:lang w:val="en-GB"/>
        </w:rPr>
      </w:pPr>
      <w:r w:rsidRPr="00FD3F7D">
        <w:rPr>
          <w:rFonts w:ascii="Times New Roman" w:hAnsi="Times New Roman" w:cs="Times New Roman"/>
          <w:sz w:val="24"/>
          <w:szCs w:val="24"/>
          <w:lang w:val="en-GB"/>
        </w:rPr>
        <w:t xml:space="preserve">EHP Partnership on Human Biomonitoring (HBM), led by Germany and co-led by </w:t>
      </w:r>
      <w:proofErr w:type="gramStart"/>
      <w:r w:rsidRPr="00FD3F7D">
        <w:rPr>
          <w:rFonts w:ascii="Times New Roman" w:hAnsi="Times New Roman" w:cs="Times New Roman"/>
          <w:sz w:val="24"/>
          <w:szCs w:val="24"/>
          <w:lang w:val="en-GB"/>
        </w:rPr>
        <w:t>Georgia;</w:t>
      </w:r>
      <w:proofErr w:type="gramEnd"/>
    </w:p>
    <w:p w14:paraId="78527D4C" w14:textId="4686173B" w:rsidR="00FD3F7D" w:rsidRPr="00FD3F7D" w:rsidRDefault="00FD3F7D" w:rsidP="00FD3F7D">
      <w:pPr>
        <w:pStyle w:val="ListParagraph"/>
        <w:numPr>
          <w:ilvl w:val="0"/>
          <w:numId w:val="29"/>
        </w:numPr>
        <w:spacing w:before="120" w:after="120" w:line="259" w:lineRule="auto"/>
        <w:jc w:val="both"/>
        <w:rPr>
          <w:rFonts w:ascii="Times New Roman" w:hAnsi="Times New Roman" w:cs="Times New Roman"/>
          <w:sz w:val="24"/>
          <w:szCs w:val="24"/>
          <w:lang w:val="en-GB"/>
        </w:rPr>
      </w:pPr>
      <w:r w:rsidRPr="00FD3F7D">
        <w:rPr>
          <w:rFonts w:ascii="Times New Roman" w:hAnsi="Times New Roman" w:cs="Times New Roman"/>
          <w:sz w:val="24"/>
          <w:szCs w:val="24"/>
          <w:lang w:val="en-GB"/>
        </w:rPr>
        <w:t xml:space="preserve">EHP Partnership for Health Sector Climate Action, led by </w:t>
      </w:r>
      <w:proofErr w:type="gramStart"/>
      <w:r w:rsidRPr="00FD3F7D">
        <w:rPr>
          <w:rFonts w:ascii="Times New Roman" w:hAnsi="Times New Roman" w:cs="Times New Roman"/>
          <w:sz w:val="24"/>
          <w:szCs w:val="24"/>
          <w:lang w:val="en-GB"/>
        </w:rPr>
        <w:t>Ireland;</w:t>
      </w:r>
      <w:proofErr w:type="gramEnd"/>
    </w:p>
    <w:p w14:paraId="328DC77B" w14:textId="73F28380" w:rsidR="00FD3F7D" w:rsidRPr="00FD3F7D" w:rsidRDefault="00FD3F7D" w:rsidP="00FD3F7D">
      <w:pPr>
        <w:pStyle w:val="ListParagraph"/>
        <w:numPr>
          <w:ilvl w:val="0"/>
          <w:numId w:val="29"/>
        </w:numPr>
        <w:spacing w:before="120" w:after="120" w:line="259" w:lineRule="auto"/>
        <w:jc w:val="both"/>
        <w:rPr>
          <w:rFonts w:ascii="Times New Roman" w:hAnsi="Times New Roman" w:cs="Times New Roman"/>
          <w:sz w:val="24"/>
          <w:szCs w:val="24"/>
          <w:lang w:val="en-GB"/>
        </w:rPr>
      </w:pPr>
      <w:r w:rsidRPr="00FD3F7D">
        <w:rPr>
          <w:rFonts w:ascii="Times New Roman" w:hAnsi="Times New Roman" w:cs="Times New Roman"/>
          <w:sz w:val="24"/>
          <w:szCs w:val="24"/>
          <w:lang w:val="en-GB"/>
        </w:rPr>
        <w:t xml:space="preserve">THE PEP/EHP Partnership on Healthy Active Mobility, jointly led by Austria, France, and the Kingdom of Netherlands; and </w:t>
      </w:r>
    </w:p>
    <w:p w14:paraId="5845316D" w14:textId="016765CD" w:rsidR="00FD3F7D" w:rsidRPr="00FD3F7D" w:rsidRDefault="00FD3F7D" w:rsidP="009A1BDC">
      <w:pPr>
        <w:pStyle w:val="ListParagraph"/>
        <w:numPr>
          <w:ilvl w:val="0"/>
          <w:numId w:val="29"/>
        </w:numPr>
        <w:spacing w:before="120" w:after="120" w:line="259" w:lineRule="auto"/>
        <w:contextualSpacing w:val="0"/>
        <w:jc w:val="both"/>
        <w:rPr>
          <w:rFonts w:ascii="Times New Roman" w:hAnsi="Times New Roman" w:cs="Times New Roman"/>
          <w:sz w:val="24"/>
          <w:szCs w:val="24"/>
          <w:lang w:val="en-GB"/>
        </w:rPr>
      </w:pPr>
      <w:r w:rsidRPr="00FD3F7D">
        <w:rPr>
          <w:rFonts w:ascii="Times New Roman" w:hAnsi="Times New Roman" w:cs="Times New Roman"/>
          <w:sz w:val="24"/>
          <w:szCs w:val="24"/>
          <w:lang w:val="en-GB"/>
        </w:rPr>
        <w:t>EHP Partnership on Youth, led by Slovenia and co-led by the International Youth Health Organization.</w:t>
      </w:r>
    </w:p>
    <w:p w14:paraId="345CF63E" w14:textId="6319D65A" w:rsidR="00010E7B" w:rsidRPr="00354BFE" w:rsidRDefault="00010E7B" w:rsidP="00103AE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It is expected that M</w:t>
      </w:r>
      <w:r w:rsidR="00656022" w:rsidRPr="249D2BBD">
        <w:rPr>
          <w:rFonts w:ascii="Times New Roman" w:hAnsi="Times New Roman" w:cs="Times New Roman"/>
          <w:sz w:val="24"/>
          <w:szCs w:val="24"/>
          <w:lang w:val="en-GB"/>
        </w:rPr>
        <w:t xml:space="preserve">ember </w:t>
      </w:r>
      <w:r w:rsidRPr="249D2BBD">
        <w:rPr>
          <w:rFonts w:ascii="Times New Roman" w:hAnsi="Times New Roman" w:cs="Times New Roman"/>
          <w:sz w:val="24"/>
          <w:szCs w:val="24"/>
          <w:lang w:val="en-GB"/>
        </w:rPr>
        <w:t>S</w:t>
      </w:r>
      <w:r w:rsidR="00656022" w:rsidRPr="249D2BBD">
        <w:rPr>
          <w:rFonts w:ascii="Times New Roman" w:hAnsi="Times New Roman" w:cs="Times New Roman"/>
          <w:sz w:val="24"/>
          <w:szCs w:val="24"/>
          <w:lang w:val="en-GB"/>
        </w:rPr>
        <w:t>tate</w:t>
      </w:r>
      <w:r w:rsidRPr="249D2BBD">
        <w:rPr>
          <w:rFonts w:ascii="Times New Roman" w:hAnsi="Times New Roman" w:cs="Times New Roman"/>
          <w:sz w:val="24"/>
          <w:szCs w:val="24"/>
          <w:lang w:val="en-GB"/>
        </w:rPr>
        <w:t>s will consider further initiatives for launching new Partnerships in the future.</w:t>
      </w:r>
      <w:r w:rsidR="2101BC58" w:rsidRPr="249D2BBD">
        <w:rPr>
          <w:rFonts w:ascii="Times New Roman" w:hAnsi="Times New Roman" w:cs="Times New Roman"/>
          <w:sz w:val="24"/>
          <w:szCs w:val="24"/>
          <w:lang w:val="en-GB"/>
        </w:rPr>
        <w:t xml:space="preserve"> </w:t>
      </w:r>
    </w:p>
    <w:p w14:paraId="5E33E852" w14:textId="591AFEFD" w:rsidR="006E427C" w:rsidRDefault="00F06DF5" w:rsidP="5424A06E">
      <w:pPr>
        <w:pStyle w:val="ListParagraph"/>
        <w:numPr>
          <w:ilvl w:val="0"/>
          <w:numId w:val="1"/>
        </w:numPr>
        <w:spacing w:before="120" w:after="120" w:line="259" w:lineRule="auto"/>
        <w:ind w:left="432" w:hanging="432"/>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 xml:space="preserve">Oversight and guidance of the Partnership's work will be provided by the EHTF. </w:t>
      </w:r>
      <w:r w:rsidR="002D06A5">
        <w:rPr>
          <w:rFonts w:ascii="Times New Roman" w:hAnsi="Times New Roman" w:cs="Times New Roman"/>
          <w:sz w:val="24"/>
          <w:szCs w:val="24"/>
          <w:lang w:val="en-GB"/>
        </w:rPr>
        <w:t>Regular</w:t>
      </w:r>
      <w:r w:rsidR="005E2F94">
        <w:rPr>
          <w:rFonts w:ascii="Times New Roman" w:hAnsi="Times New Roman" w:cs="Times New Roman"/>
          <w:sz w:val="24"/>
          <w:szCs w:val="24"/>
          <w:lang w:val="en-GB"/>
        </w:rPr>
        <w:t xml:space="preserve"> report</w:t>
      </w:r>
      <w:r w:rsidR="007059A3">
        <w:rPr>
          <w:rFonts w:ascii="Times New Roman" w:hAnsi="Times New Roman" w:cs="Times New Roman"/>
          <w:sz w:val="24"/>
          <w:szCs w:val="24"/>
          <w:lang w:val="en-GB"/>
        </w:rPr>
        <w:t>s</w:t>
      </w:r>
      <w:r w:rsidR="005E2F94">
        <w:rPr>
          <w:rFonts w:ascii="Times New Roman" w:hAnsi="Times New Roman" w:cs="Times New Roman"/>
          <w:sz w:val="24"/>
          <w:szCs w:val="24"/>
          <w:lang w:val="en-GB"/>
        </w:rPr>
        <w:t xml:space="preserve"> from</w:t>
      </w:r>
      <w:r w:rsidRPr="56B6E223" w:rsidDel="005E2F94">
        <w:rPr>
          <w:rFonts w:ascii="Times New Roman" w:hAnsi="Times New Roman" w:cs="Times New Roman"/>
          <w:sz w:val="24"/>
          <w:szCs w:val="24"/>
          <w:lang w:val="en-GB"/>
        </w:rPr>
        <w:t xml:space="preserve"> </w:t>
      </w:r>
      <w:r w:rsidRPr="56B6E223">
        <w:rPr>
          <w:rFonts w:ascii="Times New Roman" w:hAnsi="Times New Roman" w:cs="Times New Roman"/>
          <w:sz w:val="24"/>
          <w:szCs w:val="24"/>
          <w:lang w:val="en-GB"/>
        </w:rPr>
        <w:t xml:space="preserve">lead countries and organizations </w:t>
      </w:r>
      <w:r w:rsidR="005469AC">
        <w:rPr>
          <w:rFonts w:ascii="Times New Roman" w:hAnsi="Times New Roman" w:cs="Times New Roman"/>
          <w:sz w:val="24"/>
          <w:szCs w:val="24"/>
          <w:lang w:val="en-GB"/>
        </w:rPr>
        <w:t xml:space="preserve">will </w:t>
      </w:r>
      <w:r w:rsidR="007059A3">
        <w:rPr>
          <w:rFonts w:ascii="Times New Roman" w:hAnsi="Times New Roman" w:cs="Times New Roman"/>
          <w:sz w:val="24"/>
          <w:szCs w:val="24"/>
          <w:lang w:val="en-GB"/>
        </w:rPr>
        <w:t>ensure</w:t>
      </w:r>
      <w:r w:rsidR="005E2F94">
        <w:rPr>
          <w:rFonts w:ascii="Times New Roman" w:hAnsi="Times New Roman" w:cs="Times New Roman"/>
          <w:sz w:val="24"/>
          <w:szCs w:val="24"/>
          <w:lang w:val="en-GB"/>
        </w:rPr>
        <w:t xml:space="preserve"> transparency</w:t>
      </w:r>
      <w:r w:rsidR="00615FE5" w:rsidRPr="00615FE5">
        <w:rPr>
          <w:rFonts w:ascii="Times New Roman" w:hAnsi="Times New Roman" w:cs="Times New Roman"/>
          <w:sz w:val="24"/>
          <w:szCs w:val="24"/>
          <w:lang w:val="en-GB"/>
        </w:rPr>
        <w:t xml:space="preserve">, accountability, and </w:t>
      </w:r>
      <w:r w:rsidR="00615FE5" w:rsidRPr="00615FE5">
        <w:rPr>
          <w:rFonts w:ascii="Times New Roman" w:hAnsi="Times New Roman" w:cs="Times New Roman"/>
          <w:sz w:val="24"/>
          <w:szCs w:val="24"/>
          <w:lang w:val="en-GB"/>
        </w:rPr>
        <w:lastRenderedPageBreak/>
        <w:t xml:space="preserve">alignment with planned </w:t>
      </w:r>
      <w:r w:rsidR="002D06A5">
        <w:rPr>
          <w:rFonts w:ascii="Times New Roman" w:hAnsi="Times New Roman" w:cs="Times New Roman"/>
          <w:sz w:val="24"/>
          <w:szCs w:val="24"/>
          <w:lang w:val="en-GB"/>
        </w:rPr>
        <w:t xml:space="preserve">EHTF </w:t>
      </w:r>
      <w:r w:rsidR="00615FE5" w:rsidRPr="00615FE5">
        <w:rPr>
          <w:rFonts w:ascii="Times New Roman" w:hAnsi="Times New Roman" w:cs="Times New Roman"/>
          <w:sz w:val="24"/>
          <w:szCs w:val="24"/>
          <w:lang w:val="en-GB"/>
        </w:rPr>
        <w:t>initiatives, facilitating effective coordination and decision-making within the Partnership framework.</w:t>
      </w:r>
    </w:p>
    <w:p w14:paraId="288AA16F" w14:textId="5C12158E" w:rsidR="002050EB" w:rsidRPr="004D2766" w:rsidRDefault="00EA317C" w:rsidP="004D2766">
      <w:pPr>
        <w:pStyle w:val="ListParagraph"/>
        <w:numPr>
          <w:ilvl w:val="0"/>
          <w:numId w:val="1"/>
        </w:numPr>
        <w:spacing w:before="120" w:after="120" w:line="259" w:lineRule="auto"/>
        <w:ind w:left="432" w:hanging="432"/>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 xml:space="preserve">The Secretariat will assist in creating </w:t>
      </w:r>
      <w:r w:rsidR="00ED1933" w:rsidRPr="56B6E223">
        <w:rPr>
          <w:rFonts w:ascii="Times New Roman" w:hAnsi="Times New Roman" w:cs="Times New Roman"/>
          <w:sz w:val="24"/>
          <w:szCs w:val="24"/>
          <w:lang w:val="en-GB"/>
        </w:rPr>
        <w:t xml:space="preserve">a </w:t>
      </w:r>
      <w:r w:rsidR="4B420EC8" w:rsidRPr="5424A06E">
        <w:rPr>
          <w:rFonts w:ascii="Times New Roman" w:hAnsi="Times New Roman" w:cs="Times New Roman"/>
          <w:sz w:val="24"/>
          <w:szCs w:val="24"/>
          <w:lang w:val="en-GB"/>
        </w:rPr>
        <w:t xml:space="preserve">publicly accessible EHP Partnership website that displays thematic focus </w:t>
      </w:r>
      <w:r w:rsidR="00F61082" w:rsidRPr="56B6E223">
        <w:rPr>
          <w:rFonts w:ascii="Times New Roman" w:hAnsi="Times New Roman" w:cs="Times New Roman"/>
          <w:sz w:val="24"/>
          <w:szCs w:val="24"/>
          <w:lang w:val="en-GB"/>
        </w:rPr>
        <w:t>areas</w:t>
      </w:r>
      <w:r w:rsidR="4B420EC8" w:rsidRPr="5424A06E">
        <w:rPr>
          <w:rFonts w:ascii="Times New Roman" w:hAnsi="Times New Roman" w:cs="Times New Roman"/>
          <w:sz w:val="24"/>
          <w:szCs w:val="24"/>
          <w:lang w:val="en-GB"/>
        </w:rPr>
        <w:t xml:space="preserve">, achievements, </w:t>
      </w:r>
      <w:r w:rsidR="4B94A0DB" w:rsidRPr="5424A06E">
        <w:rPr>
          <w:rFonts w:ascii="Times New Roman" w:hAnsi="Times New Roman" w:cs="Times New Roman"/>
          <w:sz w:val="24"/>
          <w:szCs w:val="24"/>
          <w:lang w:val="en-GB"/>
        </w:rPr>
        <w:t xml:space="preserve">and key </w:t>
      </w:r>
      <w:r w:rsidR="4B420EC8" w:rsidRPr="5424A06E">
        <w:rPr>
          <w:rFonts w:ascii="Times New Roman" w:hAnsi="Times New Roman" w:cs="Times New Roman"/>
          <w:sz w:val="24"/>
          <w:szCs w:val="24"/>
          <w:lang w:val="en-GB"/>
        </w:rPr>
        <w:t>documents</w:t>
      </w:r>
      <w:r w:rsidR="00B01BA3" w:rsidRPr="56B6E223">
        <w:rPr>
          <w:rFonts w:ascii="Times New Roman" w:hAnsi="Times New Roman" w:cs="Times New Roman"/>
          <w:sz w:val="24"/>
          <w:szCs w:val="24"/>
          <w:lang w:val="en-GB"/>
        </w:rPr>
        <w:t xml:space="preserve">. It will </w:t>
      </w:r>
      <w:r w:rsidR="000E03B7" w:rsidRPr="56B6E223">
        <w:rPr>
          <w:rFonts w:ascii="Times New Roman" w:hAnsi="Times New Roman" w:cs="Times New Roman"/>
          <w:sz w:val="24"/>
          <w:szCs w:val="24"/>
          <w:lang w:val="en-GB"/>
        </w:rPr>
        <w:t>further</w:t>
      </w:r>
      <w:r w:rsidR="4B420EC8" w:rsidRPr="5424A06E">
        <w:rPr>
          <w:rFonts w:ascii="Times New Roman" w:hAnsi="Times New Roman" w:cs="Times New Roman"/>
          <w:sz w:val="24"/>
          <w:szCs w:val="24"/>
          <w:lang w:val="en-GB"/>
        </w:rPr>
        <w:t xml:space="preserve"> </w:t>
      </w:r>
      <w:r w:rsidR="091A2F71" w:rsidRPr="5424A06E">
        <w:rPr>
          <w:rFonts w:ascii="Times New Roman" w:hAnsi="Times New Roman" w:cs="Times New Roman"/>
          <w:sz w:val="24"/>
          <w:szCs w:val="24"/>
          <w:lang w:val="en-GB"/>
        </w:rPr>
        <w:t xml:space="preserve">develop promotional materials, such as brochures and leaflets about </w:t>
      </w:r>
      <w:r w:rsidR="000E03B7" w:rsidRPr="56B6E223">
        <w:rPr>
          <w:rFonts w:ascii="Times New Roman" w:hAnsi="Times New Roman" w:cs="Times New Roman"/>
          <w:sz w:val="24"/>
          <w:szCs w:val="24"/>
          <w:lang w:val="en-GB"/>
        </w:rPr>
        <w:t xml:space="preserve">the </w:t>
      </w:r>
      <w:r w:rsidR="5CBECBDD" w:rsidRPr="5424A06E">
        <w:rPr>
          <w:rFonts w:ascii="Times New Roman" w:hAnsi="Times New Roman" w:cs="Times New Roman"/>
          <w:sz w:val="24"/>
          <w:szCs w:val="24"/>
          <w:lang w:val="en-GB"/>
        </w:rPr>
        <w:t xml:space="preserve">achievements of the </w:t>
      </w:r>
      <w:r w:rsidR="091A2F71" w:rsidRPr="5424A06E">
        <w:rPr>
          <w:rFonts w:ascii="Times New Roman" w:hAnsi="Times New Roman" w:cs="Times New Roman"/>
          <w:sz w:val="24"/>
          <w:szCs w:val="24"/>
          <w:lang w:val="en-GB"/>
        </w:rPr>
        <w:t>EHP Partnerships</w:t>
      </w:r>
      <w:r w:rsidR="0D5F2A3C" w:rsidRPr="5424A06E">
        <w:rPr>
          <w:rFonts w:ascii="Times New Roman" w:hAnsi="Times New Roman" w:cs="Times New Roman"/>
          <w:sz w:val="24"/>
          <w:szCs w:val="24"/>
          <w:lang w:val="en-GB"/>
        </w:rPr>
        <w:t xml:space="preserve"> and </w:t>
      </w:r>
      <w:r w:rsidR="00C11E94" w:rsidRPr="56B6E223">
        <w:rPr>
          <w:rFonts w:ascii="Times New Roman" w:hAnsi="Times New Roman" w:cs="Times New Roman"/>
          <w:sz w:val="24"/>
          <w:szCs w:val="24"/>
          <w:lang w:val="en-GB"/>
        </w:rPr>
        <w:t xml:space="preserve">the </w:t>
      </w:r>
      <w:r w:rsidR="0D5F2A3C" w:rsidRPr="5424A06E">
        <w:rPr>
          <w:rFonts w:ascii="Times New Roman" w:hAnsi="Times New Roman" w:cs="Times New Roman"/>
          <w:sz w:val="24"/>
          <w:szCs w:val="24"/>
          <w:lang w:val="en-GB"/>
        </w:rPr>
        <w:t>benefits of joining this implementation mechanism.</w:t>
      </w:r>
      <w:r w:rsidR="00F61082" w:rsidRPr="56B6E223">
        <w:rPr>
          <w:rFonts w:ascii="Times New Roman" w:hAnsi="Times New Roman" w:cs="Times New Roman"/>
          <w:sz w:val="24"/>
          <w:szCs w:val="24"/>
          <w:lang w:val="en-GB"/>
        </w:rPr>
        <w:t xml:space="preserve"> </w:t>
      </w:r>
    </w:p>
    <w:p w14:paraId="4DAB468F" w14:textId="27E2B64E" w:rsidR="00820333" w:rsidRDefault="00820333" w:rsidP="37589110">
      <w:pPr>
        <w:pStyle w:val="Heading2"/>
        <w:rPr>
          <w:lang w:val="en-GB"/>
        </w:rPr>
      </w:pPr>
      <w:bookmarkStart w:id="13" w:name="_Toc164096702"/>
      <w:r w:rsidRPr="2BFC280C">
        <w:rPr>
          <w:lang w:val="en-GB"/>
        </w:rPr>
        <w:t>5.2 Subregional initiatives</w:t>
      </w:r>
      <w:r w:rsidR="00713ED5">
        <w:rPr>
          <w:lang w:val="en-US"/>
        </w:rPr>
        <w:t xml:space="preserve"> and </w:t>
      </w:r>
      <w:r w:rsidR="00AF7A7C">
        <w:rPr>
          <w:lang w:val="en-GB"/>
        </w:rPr>
        <w:t>n</w:t>
      </w:r>
      <w:r w:rsidR="00AF7A7C" w:rsidRPr="2BFC280C">
        <w:rPr>
          <w:lang w:val="en-GB"/>
        </w:rPr>
        <w:t xml:space="preserve">ational </w:t>
      </w:r>
      <w:r w:rsidR="00AF7A7C">
        <w:rPr>
          <w:lang w:val="en-GB"/>
        </w:rPr>
        <w:t>p</w:t>
      </w:r>
      <w:r w:rsidR="00AF7A7C" w:rsidRPr="2BFC280C">
        <w:rPr>
          <w:lang w:val="en-GB"/>
        </w:rPr>
        <w:t xml:space="preserve">olicy </w:t>
      </w:r>
      <w:r w:rsidR="00AF7A7C">
        <w:rPr>
          <w:lang w:val="en-GB"/>
        </w:rPr>
        <w:t>d</w:t>
      </w:r>
      <w:r w:rsidR="00AF7A7C" w:rsidRPr="2BFC280C">
        <w:rPr>
          <w:lang w:val="en-GB"/>
        </w:rPr>
        <w:t>ialogues</w:t>
      </w:r>
      <w:bookmarkEnd w:id="13"/>
      <w:r w:rsidR="00AF7A7C">
        <w:rPr>
          <w:lang w:val="en-GB"/>
        </w:rPr>
        <w:t xml:space="preserve"> </w:t>
      </w:r>
    </w:p>
    <w:p w14:paraId="0031DA40" w14:textId="321918D8" w:rsidR="000C5DAB" w:rsidRDefault="00A2736C" w:rsidP="00EF64E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Given the region's diversity, it is essential to acknowledge that although some issues are common across the Region, the specific context, challenges, and priorities of each country or group of countries may differ. The sub-regional approach could facilitate tailored strategies and approaches to effectively address environment and health concerns in various subregions</w:t>
      </w:r>
      <w:r w:rsidRPr="56B6E223">
        <w:rPr>
          <w:rFonts w:ascii="Times New Roman" w:hAnsi="Times New Roman" w:cs="Times New Roman"/>
          <w:sz w:val="24"/>
          <w:szCs w:val="24"/>
          <w:lang w:val="en-GB"/>
        </w:rPr>
        <w:t xml:space="preserve">. </w:t>
      </w:r>
    </w:p>
    <w:p w14:paraId="26C578B7" w14:textId="77777777" w:rsidR="00BF574C" w:rsidRDefault="00BF574C" w:rsidP="00EF64E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EHTF and the EHP Secretariat will consider initiatives and requests from subregions or groups of </w:t>
      </w:r>
      <w:proofErr w:type="gramStart"/>
      <w:r w:rsidRPr="249D2BBD">
        <w:rPr>
          <w:rFonts w:ascii="Times New Roman" w:hAnsi="Times New Roman" w:cs="Times New Roman"/>
          <w:sz w:val="24"/>
          <w:szCs w:val="24"/>
          <w:lang w:val="en-GB"/>
        </w:rPr>
        <w:t>countries, and</w:t>
      </w:r>
      <w:proofErr w:type="gramEnd"/>
      <w:r w:rsidRPr="249D2BBD">
        <w:rPr>
          <w:rFonts w:ascii="Times New Roman" w:hAnsi="Times New Roman" w:cs="Times New Roman"/>
          <w:sz w:val="24"/>
          <w:szCs w:val="24"/>
          <w:lang w:val="en-GB"/>
        </w:rPr>
        <w:t xml:space="preserve"> take measures to organise specific events dedicated to discussing sub-regional priorities and the best policies to address them, in the form of subregional consultations.</w:t>
      </w:r>
      <w:r>
        <w:t xml:space="preserve"> </w:t>
      </w:r>
    </w:p>
    <w:p w14:paraId="1021D8D2" w14:textId="4BEB091B" w:rsidR="00BF3959" w:rsidRPr="00245248" w:rsidRDefault="00BF3959" w:rsidP="00245248">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 xml:space="preserve">The Bonn Dialogues could also be organized with a focus on the sub-regional format, upon the expression of interest from groups of countries, possibly in partnership with regional networks. Sub-regional Dialogues could offer a strategic avenue </w:t>
      </w:r>
      <w:r w:rsidR="00230EAA">
        <w:rPr>
          <w:rFonts w:ascii="Times New Roman" w:hAnsi="Times New Roman" w:cs="Times New Roman"/>
          <w:sz w:val="24"/>
          <w:szCs w:val="24"/>
          <w:lang w:val="en-GB"/>
        </w:rPr>
        <w:t>for</w:t>
      </w:r>
      <w:r w:rsidRPr="56B6E223">
        <w:rPr>
          <w:rFonts w:ascii="Times New Roman" w:hAnsi="Times New Roman" w:cs="Times New Roman"/>
          <w:sz w:val="24"/>
          <w:szCs w:val="24"/>
          <w:lang w:val="en-GB"/>
        </w:rPr>
        <w:t xml:space="preserve"> specific issues faced by the sub-region, generating specific recommendations and strengthen regional cooperation.</w:t>
      </w:r>
    </w:p>
    <w:p w14:paraId="116A85F0" w14:textId="087231F4" w:rsidR="00F57393" w:rsidRDefault="00F57393" w:rsidP="00F57393">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EHTF could </w:t>
      </w:r>
      <w:r w:rsidR="00230EAA">
        <w:rPr>
          <w:rFonts w:ascii="Times New Roman" w:hAnsi="Times New Roman" w:cs="Times New Roman"/>
          <w:sz w:val="24"/>
          <w:szCs w:val="24"/>
          <w:lang w:val="en-GB"/>
        </w:rPr>
        <w:t>additionally</w:t>
      </w:r>
      <w:r w:rsidRPr="249D2BBD">
        <w:rPr>
          <w:rFonts w:ascii="Times New Roman" w:hAnsi="Times New Roman" w:cs="Times New Roman"/>
          <w:sz w:val="24"/>
          <w:szCs w:val="24"/>
          <w:lang w:val="en-GB"/>
        </w:rPr>
        <w:t xml:space="preserve"> leverage on the WHO subregional initiatives and local authorities’ platforms, namely the Small Country Initiative, the European Healthy Cities </w:t>
      </w:r>
      <w:proofErr w:type="gramStart"/>
      <w:r w:rsidRPr="249D2BBD">
        <w:rPr>
          <w:rFonts w:ascii="Times New Roman" w:hAnsi="Times New Roman" w:cs="Times New Roman"/>
          <w:sz w:val="24"/>
          <w:szCs w:val="24"/>
          <w:lang w:val="en-GB"/>
        </w:rPr>
        <w:t>Network</w:t>
      </w:r>
      <w:proofErr w:type="gramEnd"/>
      <w:r w:rsidRPr="249D2BBD">
        <w:rPr>
          <w:rFonts w:ascii="Times New Roman" w:hAnsi="Times New Roman" w:cs="Times New Roman"/>
          <w:sz w:val="24"/>
          <w:szCs w:val="24"/>
          <w:lang w:val="en-GB"/>
        </w:rPr>
        <w:t xml:space="preserve"> and the Regions for Health Network.</w:t>
      </w:r>
    </w:p>
    <w:p w14:paraId="07532A21" w14:textId="77777777" w:rsidR="00353A06" w:rsidRPr="00353A06" w:rsidRDefault="00F57393" w:rsidP="00F57393">
      <w:pPr>
        <w:pStyle w:val="ListParagraph"/>
        <w:numPr>
          <w:ilvl w:val="0"/>
          <w:numId w:val="1"/>
        </w:numPr>
        <w:spacing w:before="120" w:after="120" w:line="259" w:lineRule="auto"/>
        <w:ind w:left="432" w:hanging="432"/>
        <w:contextualSpacing w:val="0"/>
        <w:jc w:val="both"/>
        <w:rPr>
          <w:rFonts w:ascii="Times New Roman" w:hAnsi="Times New Roman" w:cs="Times New Roman"/>
          <w:szCs w:val="24"/>
          <w:lang w:val="en-GB"/>
        </w:rPr>
      </w:pPr>
      <w:bookmarkStart w:id="14" w:name="_Hlk162194282"/>
      <w:r w:rsidRPr="51F8B297">
        <w:rPr>
          <w:rFonts w:ascii="Times New Roman" w:hAnsi="Times New Roman" w:cs="Times New Roman"/>
          <w:sz w:val="24"/>
          <w:szCs w:val="24"/>
          <w:lang w:val="en-GB"/>
        </w:rPr>
        <w:t xml:space="preserve">Frameworks for action can be further provided by the established WHO Roadmaps for health and well-being in the </w:t>
      </w:r>
      <w:r w:rsidRPr="00D84B44">
        <w:rPr>
          <w:rFonts w:ascii="Times New Roman" w:hAnsi="Times New Roman" w:cs="Times New Roman"/>
          <w:sz w:val="24"/>
          <w:szCs w:val="24"/>
          <w:lang w:val="en-GB"/>
        </w:rPr>
        <w:t>Western Balkans</w:t>
      </w:r>
      <w:r w:rsidRPr="00D84B44">
        <w:rPr>
          <w:rStyle w:val="FootnoteReference"/>
          <w:rFonts w:ascii="Times New Roman" w:hAnsi="Times New Roman" w:cs="Times New Roman"/>
          <w:sz w:val="24"/>
          <w:szCs w:val="24"/>
          <w:lang w:val="en-GB"/>
        </w:rPr>
        <w:footnoteReference w:id="11"/>
      </w:r>
      <w:r w:rsidRPr="00D84B44">
        <w:rPr>
          <w:rFonts w:ascii="Times New Roman" w:hAnsi="Times New Roman" w:cs="Times New Roman"/>
          <w:sz w:val="24"/>
          <w:szCs w:val="24"/>
          <w:lang w:val="en-GB"/>
        </w:rPr>
        <w:t xml:space="preserve"> </w:t>
      </w:r>
      <w:r w:rsidRPr="51F8B297">
        <w:rPr>
          <w:rFonts w:ascii="Times New Roman" w:hAnsi="Times New Roman" w:cs="Times New Roman"/>
          <w:sz w:val="24"/>
          <w:szCs w:val="24"/>
          <w:lang w:val="en-GB"/>
        </w:rPr>
        <w:t xml:space="preserve">and in </w:t>
      </w:r>
      <w:r w:rsidRPr="00D84B44">
        <w:rPr>
          <w:rFonts w:ascii="Times New Roman" w:hAnsi="Times New Roman" w:cs="Times New Roman"/>
          <w:sz w:val="24"/>
          <w:szCs w:val="24"/>
          <w:lang w:val="en-GB"/>
        </w:rPr>
        <w:t>Central Asia</w:t>
      </w:r>
      <w:r>
        <w:rPr>
          <w:rStyle w:val="FootnoteReference"/>
          <w:rFonts w:ascii="Times New Roman" w:hAnsi="Times New Roman" w:cs="Times New Roman"/>
          <w:sz w:val="24"/>
          <w:szCs w:val="24"/>
          <w:lang w:val="en-GB"/>
        </w:rPr>
        <w:footnoteReference w:id="12"/>
      </w:r>
      <w:r>
        <w:rPr>
          <w:rFonts w:ascii="Times New Roman" w:hAnsi="Times New Roman" w:cs="Times New Roman"/>
          <w:sz w:val="24"/>
          <w:szCs w:val="24"/>
          <w:lang w:val="en-GB"/>
        </w:rPr>
        <w:t>.</w:t>
      </w:r>
    </w:p>
    <w:p w14:paraId="1B838257" w14:textId="489B4281" w:rsidR="00106BC8" w:rsidRPr="00F264C1" w:rsidRDefault="005022EE"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Cs w:val="24"/>
          <w:lang w:val="en-GB"/>
        </w:rPr>
      </w:pPr>
      <w:r w:rsidRPr="249D2BBD">
        <w:rPr>
          <w:rFonts w:ascii="Times New Roman" w:hAnsi="Times New Roman" w:cs="Times New Roman"/>
          <w:sz w:val="24"/>
          <w:szCs w:val="24"/>
          <w:lang w:val="en-GB"/>
        </w:rPr>
        <w:t xml:space="preserve">Similarly, </w:t>
      </w:r>
      <w:r w:rsidRPr="56B6E223">
        <w:rPr>
          <w:rFonts w:ascii="Times New Roman" w:hAnsi="Times New Roman" w:cs="Times New Roman"/>
          <w:sz w:val="24"/>
          <w:szCs w:val="24"/>
          <w:lang w:val="en-GB"/>
        </w:rPr>
        <w:t>u</w:t>
      </w:r>
      <w:r w:rsidR="006F7EA8" w:rsidRPr="56B6E223">
        <w:rPr>
          <w:rFonts w:ascii="Times New Roman" w:hAnsi="Times New Roman" w:cs="Times New Roman"/>
          <w:sz w:val="24"/>
          <w:szCs w:val="24"/>
          <w:lang w:val="en-GB"/>
        </w:rPr>
        <w:t>pon</w:t>
      </w:r>
      <w:r w:rsidR="006F7EA8" w:rsidRPr="249D2BBD">
        <w:rPr>
          <w:rFonts w:ascii="Times New Roman" w:hAnsi="Times New Roman" w:cs="Times New Roman"/>
          <w:sz w:val="24"/>
          <w:szCs w:val="24"/>
          <w:lang w:val="en-GB"/>
        </w:rPr>
        <w:t xml:space="preserve"> request from individual countries, the EHTF, together with the EHP Secretariat, can </w:t>
      </w:r>
      <w:r w:rsidR="0095449E" w:rsidRPr="56B6E223">
        <w:rPr>
          <w:rFonts w:ascii="Times New Roman" w:hAnsi="Times New Roman" w:cs="Times New Roman"/>
          <w:sz w:val="24"/>
          <w:szCs w:val="24"/>
          <w:lang w:val="en-GB"/>
        </w:rPr>
        <w:t>consider</w:t>
      </w:r>
      <w:r w:rsidR="006F7EA8" w:rsidRPr="56B6E223">
        <w:rPr>
          <w:rFonts w:ascii="Times New Roman" w:hAnsi="Times New Roman" w:cs="Times New Roman"/>
          <w:sz w:val="24"/>
          <w:szCs w:val="24"/>
          <w:lang w:val="en-GB"/>
        </w:rPr>
        <w:t xml:space="preserve"> </w:t>
      </w:r>
      <w:r w:rsidR="004A361B" w:rsidRPr="56B6E223">
        <w:rPr>
          <w:rFonts w:ascii="Times New Roman" w:hAnsi="Times New Roman" w:cs="Times New Roman"/>
          <w:sz w:val="24"/>
          <w:szCs w:val="24"/>
          <w:lang w:val="en-GB"/>
        </w:rPr>
        <w:t>organiz</w:t>
      </w:r>
      <w:r w:rsidR="0095449E" w:rsidRPr="56B6E223">
        <w:rPr>
          <w:rFonts w:ascii="Times New Roman" w:hAnsi="Times New Roman" w:cs="Times New Roman"/>
          <w:sz w:val="24"/>
          <w:szCs w:val="24"/>
          <w:lang w:val="en-GB"/>
        </w:rPr>
        <w:t>ing</w:t>
      </w:r>
      <w:r w:rsidR="004A361B" w:rsidRPr="56B6E223">
        <w:rPr>
          <w:rFonts w:ascii="Times New Roman" w:hAnsi="Times New Roman" w:cs="Times New Roman"/>
          <w:sz w:val="24"/>
          <w:szCs w:val="24"/>
          <w:lang w:val="en-GB"/>
        </w:rPr>
        <w:t xml:space="preserve"> </w:t>
      </w:r>
      <w:r w:rsidR="004A361B" w:rsidRPr="249D2BBD">
        <w:rPr>
          <w:rFonts w:ascii="Times New Roman" w:hAnsi="Times New Roman" w:cs="Times New Roman"/>
          <w:sz w:val="24"/>
          <w:szCs w:val="24"/>
          <w:lang w:val="en-GB"/>
        </w:rPr>
        <w:t>policy dialogue</w:t>
      </w:r>
      <w:r w:rsidR="006C2FE1" w:rsidRPr="249D2BBD">
        <w:rPr>
          <w:rFonts w:ascii="Times New Roman" w:hAnsi="Times New Roman" w:cs="Times New Roman"/>
          <w:sz w:val="24"/>
          <w:szCs w:val="24"/>
          <w:lang w:val="en-GB"/>
        </w:rPr>
        <w:t>s</w:t>
      </w:r>
      <w:r w:rsidR="004A361B" w:rsidRPr="249D2BBD">
        <w:rPr>
          <w:rFonts w:ascii="Times New Roman" w:hAnsi="Times New Roman" w:cs="Times New Roman"/>
          <w:sz w:val="24"/>
          <w:szCs w:val="24"/>
          <w:lang w:val="en-GB"/>
        </w:rPr>
        <w:t xml:space="preserve"> at </w:t>
      </w:r>
      <w:r w:rsidR="00EC7DE9" w:rsidRPr="56B6E223">
        <w:rPr>
          <w:rFonts w:ascii="Times New Roman" w:hAnsi="Times New Roman" w:cs="Times New Roman"/>
          <w:sz w:val="24"/>
          <w:szCs w:val="24"/>
          <w:lang w:val="en-GB"/>
        </w:rPr>
        <w:t xml:space="preserve">the </w:t>
      </w:r>
      <w:r w:rsidR="004A361B" w:rsidRPr="249D2BBD">
        <w:rPr>
          <w:rFonts w:ascii="Times New Roman" w:hAnsi="Times New Roman" w:cs="Times New Roman"/>
          <w:sz w:val="24"/>
          <w:szCs w:val="24"/>
          <w:lang w:val="en-GB"/>
        </w:rPr>
        <w:t>national level on a specific topic</w:t>
      </w:r>
      <w:r w:rsidR="009A1BDC" w:rsidRPr="249D2BBD">
        <w:rPr>
          <w:rFonts w:ascii="Times New Roman" w:hAnsi="Times New Roman" w:cs="Times New Roman"/>
          <w:sz w:val="24"/>
          <w:szCs w:val="24"/>
          <w:lang w:val="en-GB"/>
        </w:rPr>
        <w:t xml:space="preserve"> (</w:t>
      </w:r>
      <w:r w:rsidR="009A1BDC" w:rsidRPr="249D2BBD">
        <w:rPr>
          <w:rFonts w:ascii="Times New Roman" w:hAnsi="Times New Roman" w:cs="Times New Roman"/>
          <w:i/>
          <w:iCs/>
          <w:sz w:val="24"/>
          <w:szCs w:val="24"/>
          <w:lang w:val="en-GB"/>
        </w:rPr>
        <w:t>ref. Budapest Declaration, Annex 1, para. 74</w:t>
      </w:r>
      <w:r w:rsidR="009A1BDC" w:rsidRPr="249D2BBD">
        <w:rPr>
          <w:rFonts w:ascii="Times New Roman" w:hAnsi="Times New Roman" w:cs="Times New Roman"/>
          <w:sz w:val="24"/>
          <w:szCs w:val="24"/>
          <w:lang w:val="en-GB"/>
        </w:rPr>
        <w:t>)</w:t>
      </w:r>
      <w:r w:rsidR="004A361B" w:rsidRPr="249D2BBD">
        <w:rPr>
          <w:rFonts w:ascii="Times New Roman" w:hAnsi="Times New Roman" w:cs="Times New Roman"/>
          <w:sz w:val="24"/>
          <w:szCs w:val="24"/>
          <w:lang w:val="en-GB"/>
        </w:rPr>
        <w:t xml:space="preserve">, involving all responsible </w:t>
      </w:r>
      <w:r w:rsidR="00EC7DE9" w:rsidRPr="56B6E223">
        <w:rPr>
          <w:rFonts w:ascii="Times New Roman" w:hAnsi="Times New Roman" w:cs="Times New Roman"/>
          <w:sz w:val="24"/>
          <w:szCs w:val="24"/>
          <w:lang w:val="en-GB"/>
        </w:rPr>
        <w:t xml:space="preserve">authorities </w:t>
      </w:r>
      <w:r w:rsidR="004A361B" w:rsidRPr="249D2BBD">
        <w:rPr>
          <w:rFonts w:ascii="Times New Roman" w:hAnsi="Times New Roman" w:cs="Times New Roman"/>
          <w:sz w:val="24"/>
          <w:szCs w:val="24"/>
          <w:lang w:val="en-GB"/>
        </w:rPr>
        <w:t xml:space="preserve">and stakeholders, for a wide and comprehensive discussion, </w:t>
      </w:r>
      <w:r w:rsidR="000822EC" w:rsidRPr="56B6E223">
        <w:rPr>
          <w:rFonts w:ascii="Times New Roman" w:hAnsi="Times New Roman" w:cs="Times New Roman"/>
          <w:sz w:val="24"/>
          <w:szCs w:val="24"/>
          <w:lang w:val="en-GB"/>
        </w:rPr>
        <w:t>thus</w:t>
      </w:r>
      <w:r w:rsidR="006C2FE1" w:rsidRPr="249D2BBD">
        <w:rPr>
          <w:rFonts w:ascii="Times New Roman" w:hAnsi="Times New Roman" w:cs="Times New Roman"/>
          <w:sz w:val="24"/>
          <w:szCs w:val="24"/>
          <w:lang w:val="en-GB"/>
        </w:rPr>
        <w:t xml:space="preserve"> </w:t>
      </w:r>
      <w:r w:rsidR="00392592" w:rsidRPr="249D2BBD">
        <w:rPr>
          <w:rFonts w:ascii="Times New Roman" w:hAnsi="Times New Roman" w:cs="Times New Roman"/>
          <w:sz w:val="24"/>
          <w:szCs w:val="24"/>
          <w:lang w:val="en-GB"/>
        </w:rPr>
        <w:t>fostering cross-sectoral cooperation and coordination</w:t>
      </w:r>
      <w:r w:rsidR="000D1039" w:rsidRPr="249D2BBD">
        <w:rPr>
          <w:rFonts w:ascii="Times New Roman" w:hAnsi="Times New Roman" w:cs="Times New Roman"/>
          <w:sz w:val="24"/>
          <w:szCs w:val="24"/>
          <w:lang w:val="en-GB"/>
        </w:rPr>
        <w:t>.</w:t>
      </w:r>
    </w:p>
    <w:p w14:paraId="1F3E25A4" w14:textId="150E7E36" w:rsidR="00F264C1" w:rsidRPr="00EF64EE" w:rsidRDefault="00F264C1" w:rsidP="00EF64E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00A97DFA">
        <w:rPr>
          <w:rFonts w:ascii="Times New Roman" w:hAnsi="Times New Roman" w:cs="Times New Roman"/>
          <w:sz w:val="24"/>
          <w:szCs w:val="24"/>
          <w:lang w:val="en-GB"/>
        </w:rPr>
        <w:t>The EHTF will</w:t>
      </w:r>
      <w:r w:rsidR="000B21F4">
        <w:rPr>
          <w:rFonts w:ascii="Times New Roman" w:hAnsi="Times New Roman" w:cs="Times New Roman"/>
          <w:sz w:val="24"/>
          <w:szCs w:val="24"/>
          <w:lang w:val="en-GB"/>
        </w:rPr>
        <w:t xml:space="preserve"> also</w:t>
      </w:r>
      <w:r w:rsidRPr="00A97DFA">
        <w:rPr>
          <w:rFonts w:ascii="Times New Roman" w:hAnsi="Times New Roman" w:cs="Times New Roman"/>
          <w:sz w:val="24"/>
          <w:szCs w:val="24"/>
          <w:lang w:val="en-GB"/>
        </w:rPr>
        <w:t xml:space="preserve"> strengthen international cooperation with sub-regional initiatives, like the European Union Green Deal, and platforms like the Arctic Council. The UN Green Deal Working Group creates a platform for the EHP to join forces and find synergies between the Green Deal and Budapest commitments and its pillar strategies in the achievement of the SDGs and the 2030 Agenda for Sustainable Development.</w:t>
      </w:r>
    </w:p>
    <w:p w14:paraId="3A9811EC" w14:textId="599DF316" w:rsidR="00635F62" w:rsidRPr="00635F62" w:rsidRDefault="00820333" w:rsidP="37589110">
      <w:pPr>
        <w:pStyle w:val="Heading2"/>
        <w:rPr>
          <w:lang w:val="en-GB"/>
        </w:rPr>
      </w:pPr>
      <w:bookmarkStart w:id="15" w:name="_Toc164096703"/>
      <w:bookmarkEnd w:id="14"/>
      <w:r w:rsidRPr="2BFC280C">
        <w:rPr>
          <w:lang w:val="en-GB"/>
        </w:rPr>
        <w:t>5.3 Country-specific activities on selected priority areas within the context of WHO Biennial Collaborative Agreements (2024−2025) and other bilateral initiatives</w:t>
      </w:r>
      <w:bookmarkEnd w:id="15"/>
    </w:p>
    <w:p w14:paraId="08E17C1A" w14:textId="0788E19E" w:rsidR="003F4CEF" w:rsidRPr="003F4CEF" w:rsidRDefault="003F4CEF" w:rsidP="009A1BDC">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The</w:t>
      </w:r>
      <w:r w:rsidRPr="249D2BBD" w:rsidDel="00F50D3B">
        <w:rPr>
          <w:rFonts w:ascii="Times New Roman" w:hAnsi="Times New Roman" w:cs="Times New Roman"/>
          <w:sz w:val="24"/>
          <w:szCs w:val="24"/>
          <w:lang w:val="en-GB"/>
        </w:rPr>
        <w:t xml:space="preserve"> </w:t>
      </w:r>
      <w:r w:rsidR="00F50D3B">
        <w:rPr>
          <w:rFonts w:ascii="Times New Roman" w:hAnsi="Times New Roman" w:cs="Times New Roman"/>
          <w:sz w:val="24"/>
          <w:szCs w:val="24"/>
          <w:lang w:val="en-GB"/>
        </w:rPr>
        <w:t>EHP</w:t>
      </w:r>
      <w:r w:rsidR="00F50D3B" w:rsidRPr="249D2BBD">
        <w:rPr>
          <w:rFonts w:ascii="Times New Roman" w:hAnsi="Times New Roman" w:cs="Times New Roman"/>
          <w:sz w:val="24"/>
          <w:szCs w:val="24"/>
          <w:lang w:val="en-GB"/>
        </w:rPr>
        <w:t xml:space="preserve"> </w:t>
      </w:r>
      <w:r w:rsidRPr="249D2BBD">
        <w:rPr>
          <w:rFonts w:ascii="Times New Roman" w:hAnsi="Times New Roman" w:cs="Times New Roman"/>
          <w:sz w:val="24"/>
          <w:szCs w:val="24"/>
          <w:lang w:val="en-GB"/>
        </w:rPr>
        <w:t>Secretariat works bilaterally with Member States to strengthen national implementation efforts in line with the Budapest Declaration objectives</w:t>
      </w:r>
      <w:r w:rsidR="00474689">
        <w:rPr>
          <w:rFonts w:ascii="Times New Roman" w:hAnsi="Times New Roman" w:cs="Times New Roman"/>
          <w:sz w:val="24"/>
          <w:szCs w:val="24"/>
          <w:lang w:val="en-GB"/>
        </w:rPr>
        <w:t>, including the</w:t>
      </w:r>
      <w:r w:rsidRPr="249D2BBD">
        <w:rPr>
          <w:rFonts w:ascii="Times New Roman" w:hAnsi="Times New Roman" w:cs="Times New Roman"/>
          <w:sz w:val="24"/>
          <w:szCs w:val="24"/>
          <w:lang w:val="en-GB"/>
        </w:rPr>
        <w:t xml:space="preserve"> development of National Portfolios of Actions on Environment and Health and technical </w:t>
      </w:r>
      <w:r w:rsidRPr="249D2BBD">
        <w:rPr>
          <w:rFonts w:ascii="Times New Roman" w:hAnsi="Times New Roman" w:cs="Times New Roman"/>
          <w:sz w:val="24"/>
          <w:szCs w:val="24"/>
          <w:lang w:val="en-GB"/>
        </w:rPr>
        <w:lastRenderedPageBreak/>
        <w:t xml:space="preserve">advice and support on specific environment and health priorities, based on the interests and priorities of individual Member States (Annex </w:t>
      </w:r>
      <w:r w:rsidR="00400410" w:rsidRPr="249D2BBD">
        <w:rPr>
          <w:rFonts w:ascii="Times New Roman" w:hAnsi="Times New Roman" w:cs="Times New Roman"/>
          <w:sz w:val="24"/>
          <w:szCs w:val="24"/>
          <w:lang w:val="en-GB"/>
        </w:rPr>
        <w:t>1</w:t>
      </w:r>
      <w:r w:rsidRPr="249D2BBD">
        <w:rPr>
          <w:rFonts w:ascii="Times New Roman" w:hAnsi="Times New Roman" w:cs="Times New Roman"/>
          <w:sz w:val="24"/>
          <w:szCs w:val="24"/>
          <w:lang w:val="en-GB"/>
        </w:rPr>
        <w:t>).</w:t>
      </w:r>
    </w:p>
    <w:p w14:paraId="177C7D52" w14:textId="0C0706D6" w:rsidR="00E640B9" w:rsidRPr="009A1BDC" w:rsidRDefault="003F4CEF" w:rsidP="009A1BDC">
      <w:pPr>
        <w:pStyle w:val="ListParagraph"/>
        <w:numPr>
          <w:ilvl w:val="0"/>
          <w:numId w:val="1"/>
        </w:numPr>
        <w:suppressLineNumbers/>
        <w:spacing w:before="120" w:after="120" w:line="259" w:lineRule="auto"/>
        <w:ind w:left="432" w:hanging="432"/>
        <w:contextualSpacing w:val="0"/>
        <w:jc w:val="both"/>
        <w:rPr>
          <w:rFonts w:ascii="Times New Roman" w:hAnsi="Times New Roman" w:cs="Times New Roman"/>
          <w:sz w:val="24"/>
          <w:szCs w:val="24"/>
          <w:lang w:val="en-GB"/>
        </w:rPr>
      </w:pPr>
      <w:r w:rsidRPr="37589110">
        <w:rPr>
          <w:rFonts w:ascii="Times New Roman" w:hAnsi="Times New Roman" w:cs="Times New Roman"/>
          <w:sz w:val="24"/>
          <w:szCs w:val="24"/>
          <w:lang w:val="en-GB"/>
        </w:rPr>
        <w:t>These country-specific activities</w:t>
      </w:r>
      <w:r w:rsidR="00854078">
        <w:rPr>
          <w:rFonts w:ascii="Times New Roman" w:hAnsi="Times New Roman" w:cs="Times New Roman"/>
          <w:sz w:val="24"/>
          <w:szCs w:val="24"/>
          <w:lang w:val="en-GB"/>
        </w:rPr>
        <w:t xml:space="preserve"> on environment and health</w:t>
      </w:r>
      <w:r w:rsidRPr="37589110">
        <w:rPr>
          <w:rFonts w:ascii="Times New Roman" w:hAnsi="Times New Roman" w:cs="Times New Roman"/>
          <w:sz w:val="24"/>
          <w:szCs w:val="24"/>
          <w:lang w:val="en-GB"/>
        </w:rPr>
        <w:t xml:space="preserve"> are initiated at the request of Member States, either within the context of WHO Biennial Collaborative Agreements</w:t>
      </w:r>
      <w:r w:rsidRPr="37589110">
        <w:rPr>
          <w:rStyle w:val="FootnoteReference"/>
          <w:rFonts w:ascii="Times New Roman" w:hAnsi="Times New Roman" w:cs="Times New Roman"/>
          <w:sz w:val="24"/>
          <w:szCs w:val="24"/>
          <w:lang w:val="en-GB"/>
        </w:rPr>
        <w:footnoteReference w:id="13"/>
      </w:r>
      <w:r w:rsidRPr="37589110">
        <w:rPr>
          <w:rFonts w:ascii="Times New Roman" w:hAnsi="Times New Roman" w:cs="Times New Roman"/>
          <w:sz w:val="24"/>
          <w:szCs w:val="24"/>
          <w:lang w:val="en-GB"/>
        </w:rPr>
        <w:t xml:space="preserve"> (2024−2025) or other bilateral and multilateral agreements co-led by WHO ECEH, as appropriate.</w:t>
      </w:r>
      <w:bookmarkStart w:id="16" w:name="_Toc145423705"/>
    </w:p>
    <w:p w14:paraId="09FF97F4" w14:textId="57E63D21" w:rsidR="00635F62" w:rsidRDefault="00635F62" w:rsidP="37589110">
      <w:pPr>
        <w:pStyle w:val="Heading2"/>
        <w:rPr>
          <w:lang w:val="en-GB"/>
        </w:rPr>
      </w:pPr>
      <w:bookmarkStart w:id="17" w:name="_Toc164096704"/>
      <w:bookmarkEnd w:id="16"/>
      <w:r w:rsidRPr="2BFC280C">
        <w:rPr>
          <w:lang w:val="en-GB"/>
        </w:rPr>
        <w:t>5.</w:t>
      </w:r>
      <w:r w:rsidR="00E640B9" w:rsidDel="00AE22E1">
        <w:rPr>
          <w:lang w:val="en-GB"/>
        </w:rPr>
        <w:t>5</w:t>
      </w:r>
      <w:r w:rsidR="00AE22E1" w:rsidRPr="2BFC280C">
        <w:rPr>
          <w:lang w:val="en-GB"/>
        </w:rPr>
        <w:t xml:space="preserve"> </w:t>
      </w:r>
      <w:r w:rsidRPr="2BFC280C">
        <w:rPr>
          <w:lang w:val="en-GB"/>
        </w:rPr>
        <w:t>Cooperation and coordination with other UN platforms and multilateral environmental agreements</w:t>
      </w:r>
      <w:bookmarkEnd w:id="17"/>
    </w:p>
    <w:p w14:paraId="1D990DD1" w14:textId="52CE2113"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r w:rsidR="004D5561" w:rsidRPr="249D2BBD">
        <w:rPr>
          <w:rFonts w:ascii="Times New Roman" w:hAnsi="Times New Roman" w:cs="Times New Roman"/>
          <w:sz w:val="24"/>
          <w:szCs w:val="24"/>
          <w:lang w:val="en-GB"/>
        </w:rPr>
        <w:t>Budapest</w:t>
      </w:r>
      <w:r w:rsidRPr="249D2BBD">
        <w:rPr>
          <w:rFonts w:ascii="Times New Roman" w:hAnsi="Times New Roman" w:cs="Times New Roman"/>
          <w:sz w:val="24"/>
          <w:szCs w:val="24"/>
          <w:lang w:val="en-GB"/>
        </w:rPr>
        <w:t xml:space="preserve"> Declaration identifies </w:t>
      </w:r>
      <w:proofErr w:type="gramStart"/>
      <w:r w:rsidRPr="249D2BBD">
        <w:rPr>
          <w:rFonts w:ascii="Times New Roman" w:hAnsi="Times New Roman" w:cs="Times New Roman"/>
          <w:sz w:val="24"/>
          <w:szCs w:val="24"/>
          <w:lang w:val="en-GB"/>
        </w:rPr>
        <w:t>a number of</w:t>
      </w:r>
      <w:proofErr w:type="gramEnd"/>
      <w:r w:rsidRPr="249D2BBD">
        <w:rPr>
          <w:rFonts w:ascii="Times New Roman" w:hAnsi="Times New Roman" w:cs="Times New Roman"/>
          <w:sz w:val="24"/>
          <w:szCs w:val="24"/>
          <w:lang w:val="en-GB"/>
        </w:rPr>
        <w:t xml:space="preserve"> international commitments of relevance to the EHP and recognizes that much progress could be achieved by focusing on strengthening the implementation of </w:t>
      </w:r>
      <w:r w:rsidR="007E61BB" w:rsidRPr="249D2BBD">
        <w:rPr>
          <w:rFonts w:ascii="Times New Roman" w:hAnsi="Times New Roman" w:cs="Times New Roman"/>
          <w:sz w:val="24"/>
          <w:szCs w:val="24"/>
          <w:lang w:val="en-GB"/>
        </w:rPr>
        <w:t>those</w:t>
      </w:r>
      <w:r w:rsidRPr="249D2BBD">
        <w:rPr>
          <w:rFonts w:ascii="Times New Roman" w:hAnsi="Times New Roman" w:cs="Times New Roman"/>
          <w:sz w:val="24"/>
          <w:szCs w:val="24"/>
          <w:lang w:val="en-GB"/>
        </w:rPr>
        <w:t xml:space="preserve"> commitments that have already been taken by Member States in other relevant fora.</w:t>
      </w:r>
    </w:p>
    <w:p w14:paraId="13B3BE1B" w14:textId="3FFE4C67"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proofErr w:type="gramStart"/>
      <w:r w:rsidRPr="249D2BBD">
        <w:rPr>
          <w:rFonts w:ascii="Times New Roman" w:hAnsi="Times New Roman" w:cs="Times New Roman"/>
          <w:sz w:val="24"/>
          <w:szCs w:val="24"/>
          <w:lang w:val="en-GB"/>
        </w:rPr>
        <w:t>In particular, Member</w:t>
      </w:r>
      <w:proofErr w:type="gramEnd"/>
      <w:r w:rsidRPr="249D2BBD">
        <w:rPr>
          <w:rFonts w:ascii="Times New Roman" w:hAnsi="Times New Roman" w:cs="Times New Roman"/>
          <w:sz w:val="24"/>
          <w:szCs w:val="24"/>
          <w:lang w:val="en-GB"/>
        </w:rPr>
        <w:t xml:space="preserve"> States committed to </w:t>
      </w:r>
      <w:r w:rsidR="005067B7" w:rsidRPr="249D2BBD">
        <w:rPr>
          <w:rFonts w:ascii="Times New Roman" w:hAnsi="Times New Roman" w:cs="Times New Roman"/>
          <w:sz w:val="24"/>
          <w:szCs w:val="24"/>
          <w:lang w:val="en-GB"/>
        </w:rPr>
        <w:t xml:space="preserve">support ratification and/or </w:t>
      </w:r>
      <w:r w:rsidRPr="249D2BBD">
        <w:rPr>
          <w:rFonts w:ascii="Times New Roman" w:hAnsi="Times New Roman" w:cs="Times New Roman"/>
          <w:sz w:val="24"/>
          <w:szCs w:val="24"/>
          <w:lang w:val="en-GB"/>
        </w:rPr>
        <w:t xml:space="preserve">advance the implementation of existing instruments, particularly those resulting from the </w:t>
      </w:r>
      <w:r w:rsidR="00453B00" w:rsidRPr="249D2BBD">
        <w:rPr>
          <w:rFonts w:ascii="Times New Roman" w:hAnsi="Times New Roman" w:cs="Times New Roman"/>
          <w:sz w:val="24"/>
          <w:szCs w:val="24"/>
          <w:lang w:val="en-GB"/>
        </w:rPr>
        <w:t>EHP</w:t>
      </w:r>
      <w:r w:rsidRPr="249D2BBD">
        <w:rPr>
          <w:rFonts w:ascii="Times New Roman" w:hAnsi="Times New Roman" w:cs="Times New Roman"/>
          <w:sz w:val="24"/>
          <w:szCs w:val="24"/>
          <w:lang w:val="en-GB"/>
        </w:rPr>
        <w:t xml:space="preserve"> (the Protocol on Water and Health to the Convention on the Protection and Use of Transboundary Watercourses and International Lakes, and the Transport, Health and Environment Pan-European Programme – THE PEP), and </w:t>
      </w:r>
      <w:r w:rsidR="002C064F" w:rsidRPr="249D2BBD">
        <w:rPr>
          <w:rFonts w:ascii="Times New Roman" w:hAnsi="Times New Roman" w:cs="Times New Roman"/>
          <w:sz w:val="24"/>
          <w:szCs w:val="24"/>
          <w:lang w:val="en-GB"/>
        </w:rPr>
        <w:t>other multilateral agreements relevant for the environment and health agenda</w:t>
      </w:r>
      <w:r w:rsidRPr="249D2BBD">
        <w:rPr>
          <w:rFonts w:ascii="Times New Roman" w:hAnsi="Times New Roman" w:cs="Times New Roman"/>
          <w:sz w:val="24"/>
          <w:szCs w:val="24"/>
          <w:lang w:val="en-GB"/>
        </w:rPr>
        <w:t xml:space="preserve"> (</w:t>
      </w:r>
      <w:r w:rsidR="00011AAE" w:rsidRPr="249D2BBD">
        <w:rPr>
          <w:rFonts w:ascii="Times New Roman" w:hAnsi="Times New Roman" w:cs="Times New Roman"/>
          <w:i/>
          <w:iCs/>
          <w:sz w:val="24"/>
          <w:szCs w:val="24"/>
          <w:lang w:val="en-GB"/>
        </w:rPr>
        <w:t xml:space="preserve">ref. </w:t>
      </w:r>
      <w:r w:rsidR="00244A1D" w:rsidRPr="249D2BBD">
        <w:rPr>
          <w:rFonts w:ascii="Times New Roman" w:hAnsi="Times New Roman" w:cs="Times New Roman"/>
          <w:i/>
          <w:iCs/>
          <w:sz w:val="24"/>
          <w:szCs w:val="24"/>
          <w:lang w:val="en-GB"/>
        </w:rPr>
        <w:t>Budapest</w:t>
      </w:r>
      <w:r w:rsidRPr="249D2BBD">
        <w:rPr>
          <w:rFonts w:ascii="Times New Roman" w:hAnsi="Times New Roman" w:cs="Times New Roman"/>
          <w:i/>
          <w:iCs/>
          <w:sz w:val="24"/>
          <w:szCs w:val="24"/>
          <w:lang w:val="en-GB"/>
        </w:rPr>
        <w:t xml:space="preserve"> Declaration, para. 1</w:t>
      </w:r>
      <w:r w:rsidR="00244A1D" w:rsidRPr="249D2BBD">
        <w:rPr>
          <w:rFonts w:ascii="Times New Roman" w:hAnsi="Times New Roman" w:cs="Times New Roman"/>
          <w:i/>
          <w:iCs/>
          <w:sz w:val="24"/>
          <w:szCs w:val="24"/>
          <w:lang w:val="en-GB"/>
        </w:rPr>
        <w:t>0</w:t>
      </w:r>
      <w:r w:rsidRPr="249D2BBD">
        <w:rPr>
          <w:rFonts w:ascii="Times New Roman" w:hAnsi="Times New Roman" w:cs="Times New Roman"/>
          <w:sz w:val="24"/>
          <w:szCs w:val="24"/>
          <w:lang w:val="en-GB"/>
        </w:rPr>
        <w:t>).</w:t>
      </w:r>
    </w:p>
    <w:p w14:paraId="7190C79B" w14:textId="75705740" w:rsidR="000C5DAB" w:rsidRPr="00354BFE" w:rsidRDefault="003F7388"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The Roadmap of the Budapest Declaration</w:t>
      </w:r>
      <w:r w:rsidR="000C5DAB" w:rsidRPr="249D2BBD">
        <w:rPr>
          <w:rFonts w:ascii="Times New Roman" w:hAnsi="Times New Roman" w:cs="Times New Roman"/>
          <w:sz w:val="24"/>
          <w:szCs w:val="24"/>
          <w:lang w:val="en-GB"/>
        </w:rPr>
        <w:t xml:space="preserve"> </w:t>
      </w:r>
      <w:r w:rsidR="00355B72" w:rsidRPr="249D2BBD">
        <w:rPr>
          <w:rFonts w:ascii="Times New Roman" w:hAnsi="Times New Roman" w:cs="Times New Roman"/>
          <w:sz w:val="24"/>
          <w:szCs w:val="24"/>
          <w:lang w:val="en-GB"/>
        </w:rPr>
        <w:t>suggests</w:t>
      </w:r>
      <w:r w:rsidR="000C5DAB" w:rsidRPr="249D2BBD">
        <w:rPr>
          <w:rFonts w:ascii="Times New Roman" w:hAnsi="Times New Roman" w:cs="Times New Roman"/>
          <w:sz w:val="24"/>
          <w:szCs w:val="24"/>
          <w:lang w:val="en-GB"/>
        </w:rPr>
        <w:t xml:space="preserve"> several propos</w:t>
      </w:r>
      <w:r w:rsidR="00D8378F" w:rsidRPr="249D2BBD">
        <w:rPr>
          <w:rFonts w:ascii="Times New Roman" w:hAnsi="Times New Roman" w:cs="Times New Roman"/>
          <w:sz w:val="24"/>
          <w:szCs w:val="24"/>
          <w:lang w:val="en-GB"/>
        </w:rPr>
        <w:t>al</w:t>
      </w:r>
      <w:r w:rsidR="000C5DAB" w:rsidRPr="249D2BBD">
        <w:rPr>
          <w:rFonts w:ascii="Times New Roman" w:hAnsi="Times New Roman" w:cs="Times New Roman"/>
          <w:sz w:val="24"/>
          <w:szCs w:val="24"/>
          <w:lang w:val="en-GB"/>
        </w:rPr>
        <w:t xml:space="preserve">s </w:t>
      </w:r>
      <w:r w:rsidR="00D8378F" w:rsidRPr="249D2BBD">
        <w:rPr>
          <w:rFonts w:ascii="Times New Roman" w:hAnsi="Times New Roman" w:cs="Times New Roman"/>
          <w:sz w:val="24"/>
          <w:szCs w:val="24"/>
          <w:lang w:val="en-GB"/>
        </w:rPr>
        <w:t>for</w:t>
      </w:r>
      <w:r w:rsidR="000C5DAB" w:rsidRPr="249D2BBD">
        <w:rPr>
          <w:rFonts w:ascii="Times New Roman" w:hAnsi="Times New Roman" w:cs="Times New Roman"/>
          <w:sz w:val="24"/>
          <w:szCs w:val="24"/>
          <w:lang w:val="en-GB"/>
        </w:rPr>
        <w:t xml:space="preserve"> action that would significantly support the achievement of the </w:t>
      </w:r>
      <w:r w:rsidR="004D5561" w:rsidRPr="249D2BBD">
        <w:rPr>
          <w:rFonts w:ascii="Times New Roman" w:hAnsi="Times New Roman" w:cs="Times New Roman"/>
          <w:sz w:val="24"/>
          <w:szCs w:val="24"/>
          <w:lang w:val="en-GB"/>
        </w:rPr>
        <w:t>Budapest</w:t>
      </w:r>
      <w:r w:rsidR="000C5DAB" w:rsidRPr="249D2BBD">
        <w:rPr>
          <w:rFonts w:ascii="Times New Roman" w:hAnsi="Times New Roman" w:cs="Times New Roman"/>
          <w:sz w:val="24"/>
          <w:szCs w:val="24"/>
          <w:lang w:val="en-GB"/>
        </w:rPr>
        <w:t xml:space="preserve"> commitments leveraging these platforms.</w:t>
      </w:r>
    </w:p>
    <w:p w14:paraId="5A466F2E" w14:textId="15BF1AA7"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Furthermore, several members of the EHTF happen to be also actively engaged in these processes and instruments, for example as members of bureau</w:t>
      </w:r>
      <w:r w:rsidR="003F7388" w:rsidRPr="249D2BBD">
        <w:rPr>
          <w:rFonts w:ascii="Times New Roman" w:hAnsi="Times New Roman" w:cs="Times New Roman"/>
          <w:sz w:val="24"/>
          <w:szCs w:val="24"/>
          <w:lang w:val="en-GB"/>
        </w:rPr>
        <w:t>s</w:t>
      </w:r>
      <w:r w:rsidRPr="249D2BBD">
        <w:rPr>
          <w:rFonts w:ascii="Times New Roman" w:hAnsi="Times New Roman" w:cs="Times New Roman"/>
          <w:sz w:val="24"/>
          <w:szCs w:val="24"/>
          <w:lang w:val="en-GB"/>
        </w:rPr>
        <w:t>, task forces, and committees established under these instruments. This creates additional opportunities for consistently advocating and promoting coherent policy directions and mutually supportive and synergic actions.</w:t>
      </w:r>
    </w:p>
    <w:p w14:paraId="5B242AE0" w14:textId="1E97FAF3"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Of </w:t>
      </w:r>
      <w:proofErr w:type="gramStart"/>
      <w:r w:rsidRPr="249D2BBD">
        <w:rPr>
          <w:rFonts w:ascii="Times New Roman" w:hAnsi="Times New Roman" w:cs="Times New Roman"/>
          <w:sz w:val="24"/>
          <w:szCs w:val="24"/>
          <w:lang w:val="en-GB"/>
        </w:rPr>
        <w:t>particular relevance</w:t>
      </w:r>
      <w:proofErr w:type="gramEnd"/>
      <w:r w:rsidRPr="249D2BBD">
        <w:rPr>
          <w:rFonts w:ascii="Times New Roman" w:hAnsi="Times New Roman" w:cs="Times New Roman"/>
          <w:sz w:val="24"/>
          <w:szCs w:val="24"/>
          <w:lang w:val="en-GB"/>
        </w:rPr>
        <w:t xml:space="preserve"> in this context is the collaboration between the EHP and the UNECE Environment for Europe Process</w:t>
      </w:r>
      <w:r w:rsidR="0072108E" w:rsidRPr="249D2BBD">
        <w:rPr>
          <w:rFonts w:ascii="Times New Roman" w:hAnsi="Times New Roman" w:cs="Times New Roman"/>
          <w:sz w:val="24"/>
          <w:szCs w:val="24"/>
          <w:lang w:val="en-GB"/>
        </w:rPr>
        <w:t xml:space="preserve"> (EfE)</w:t>
      </w:r>
      <w:r w:rsidRPr="249D2BBD">
        <w:rPr>
          <w:rFonts w:ascii="Times New Roman" w:hAnsi="Times New Roman" w:cs="Times New Roman"/>
          <w:sz w:val="24"/>
          <w:szCs w:val="24"/>
          <w:lang w:val="en-GB"/>
        </w:rPr>
        <w:t xml:space="preserve">, whose ninth Ministerial Conference </w:t>
      </w:r>
      <w:r w:rsidR="00D627B0" w:rsidRPr="249D2BBD">
        <w:rPr>
          <w:rFonts w:ascii="Times New Roman" w:hAnsi="Times New Roman" w:cs="Times New Roman"/>
          <w:sz w:val="24"/>
          <w:szCs w:val="24"/>
          <w:lang w:val="en-GB"/>
        </w:rPr>
        <w:t>took</w:t>
      </w:r>
      <w:r w:rsidRPr="249D2BBD">
        <w:rPr>
          <w:rFonts w:ascii="Times New Roman" w:hAnsi="Times New Roman" w:cs="Times New Roman"/>
          <w:sz w:val="24"/>
          <w:szCs w:val="24"/>
          <w:lang w:val="en-GB"/>
        </w:rPr>
        <w:t xml:space="preserve"> place on 5−7 October 2022 in Nicosia, Cyprus. The </w:t>
      </w:r>
      <w:r w:rsidR="00D627B0" w:rsidRPr="249D2BBD">
        <w:rPr>
          <w:rFonts w:ascii="Times New Roman" w:hAnsi="Times New Roman" w:cs="Times New Roman"/>
          <w:sz w:val="24"/>
          <w:szCs w:val="24"/>
          <w:lang w:val="en-GB"/>
        </w:rPr>
        <w:t>C</w:t>
      </w:r>
      <w:r w:rsidRPr="249D2BBD">
        <w:rPr>
          <w:rFonts w:ascii="Times New Roman" w:hAnsi="Times New Roman" w:cs="Times New Roman"/>
          <w:sz w:val="24"/>
          <w:szCs w:val="24"/>
          <w:lang w:val="en-GB"/>
        </w:rPr>
        <w:t>onference focus</w:t>
      </w:r>
      <w:r w:rsidR="00D8378F" w:rsidRPr="249D2BBD">
        <w:rPr>
          <w:rFonts w:ascii="Times New Roman" w:hAnsi="Times New Roman" w:cs="Times New Roman"/>
          <w:sz w:val="24"/>
          <w:szCs w:val="24"/>
          <w:lang w:val="en-GB"/>
        </w:rPr>
        <w:t>ed</w:t>
      </w:r>
      <w:r w:rsidRPr="249D2BBD">
        <w:rPr>
          <w:rFonts w:ascii="Times New Roman" w:hAnsi="Times New Roman" w:cs="Times New Roman"/>
          <w:sz w:val="24"/>
          <w:szCs w:val="24"/>
          <w:lang w:val="en-GB"/>
        </w:rPr>
        <w:t xml:space="preserve"> on sustainable infrastructures for greening the economy and on circular economy for sustainable tourism, and it also ha</w:t>
      </w:r>
      <w:r w:rsidR="00D8378F" w:rsidRPr="249D2BBD">
        <w:rPr>
          <w:rFonts w:ascii="Times New Roman" w:hAnsi="Times New Roman" w:cs="Times New Roman"/>
          <w:sz w:val="24"/>
          <w:szCs w:val="24"/>
          <w:lang w:val="en-GB"/>
        </w:rPr>
        <w:t>d</w:t>
      </w:r>
      <w:r w:rsidRPr="249D2BBD">
        <w:rPr>
          <w:rFonts w:ascii="Times New Roman" w:hAnsi="Times New Roman" w:cs="Times New Roman"/>
          <w:sz w:val="24"/>
          <w:szCs w:val="24"/>
          <w:lang w:val="en-GB"/>
        </w:rPr>
        <w:t xml:space="preserve"> a special session on education for sustainable development. </w:t>
      </w:r>
      <w:r w:rsidR="00BB2D61" w:rsidRPr="249D2BBD">
        <w:rPr>
          <w:rFonts w:ascii="Times New Roman" w:hAnsi="Times New Roman" w:cs="Times New Roman"/>
          <w:sz w:val="24"/>
          <w:szCs w:val="24"/>
          <w:lang w:val="en-GB"/>
        </w:rPr>
        <w:t>O</w:t>
      </w:r>
      <w:r w:rsidRPr="249D2BBD">
        <w:rPr>
          <w:rFonts w:ascii="Times New Roman" w:hAnsi="Times New Roman" w:cs="Times New Roman"/>
          <w:sz w:val="24"/>
          <w:szCs w:val="24"/>
          <w:lang w:val="en-GB"/>
        </w:rPr>
        <w:t xml:space="preserve">pportunities </w:t>
      </w:r>
      <w:r w:rsidR="00BB2D61" w:rsidRPr="249D2BBD">
        <w:rPr>
          <w:rFonts w:ascii="Times New Roman" w:hAnsi="Times New Roman" w:cs="Times New Roman"/>
          <w:sz w:val="24"/>
          <w:szCs w:val="24"/>
          <w:lang w:val="en-GB"/>
        </w:rPr>
        <w:t xml:space="preserve">should be pursued for finding </w:t>
      </w:r>
      <w:r w:rsidRPr="249D2BBD">
        <w:rPr>
          <w:rFonts w:ascii="Times New Roman" w:hAnsi="Times New Roman" w:cs="Times New Roman"/>
          <w:sz w:val="24"/>
          <w:szCs w:val="24"/>
          <w:lang w:val="en-GB"/>
        </w:rPr>
        <w:t>synerg</w:t>
      </w:r>
      <w:r w:rsidR="00BB2D61" w:rsidRPr="249D2BBD">
        <w:rPr>
          <w:rFonts w:ascii="Times New Roman" w:hAnsi="Times New Roman" w:cs="Times New Roman"/>
          <w:sz w:val="24"/>
          <w:szCs w:val="24"/>
          <w:lang w:val="en-GB"/>
        </w:rPr>
        <w:t>ies</w:t>
      </w:r>
      <w:r w:rsidRPr="249D2BBD">
        <w:rPr>
          <w:rFonts w:ascii="Times New Roman" w:hAnsi="Times New Roman" w:cs="Times New Roman"/>
          <w:sz w:val="24"/>
          <w:szCs w:val="24"/>
          <w:lang w:val="en-GB"/>
        </w:rPr>
        <w:t xml:space="preserve"> </w:t>
      </w:r>
      <w:r w:rsidR="00BB2D61" w:rsidRPr="249D2BBD">
        <w:rPr>
          <w:rFonts w:ascii="Times New Roman" w:hAnsi="Times New Roman" w:cs="Times New Roman"/>
          <w:sz w:val="24"/>
          <w:szCs w:val="24"/>
          <w:lang w:val="en-GB"/>
        </w:rPr>
        <w:t xml:space="preserve">between the EHP and </w:t>
      </w:r>
      <w:r w:rsidR="0072108E" w:rsidRPr="249D2BBD">
        <w:rPr>
          <w:rFonts w:ascii="Times New Roman" w:hAnsi="Times New Roman" w:cs="Times New Roman"/>
          <w:sz w:val="24"/>
          <w:szCs w:val="24"/>
          <w:lang w:val="en-GB"/>
        </w:rPr>
        <w:t>the EfE processes</w:t>
      </w:r>
      <w:r w:rsidRPr="249D2BBD">
        <w:rPr>
          <w:rFonts w:ascii="Times New Roman" w:hAnsi="Times New Roman" w:cs="Times New Roman"/>
          <w:sz w:val="24"/>
          <w:szCs w:val="24"/>
          <w:lang w:val="en-GB"/>
        </w:rPr>
        <w:t>.</w:t>
      </w:r>
    </w:p>
    <w:p w14:paraId="158DB42F" w14:textId="77777777"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The UN Issue-based Coalition on Environment and Climate Change, a regional platform for UN agencies coordinated by UNECE, UNEP and UNESCO, promotes coordinated support to all Member States in their implementation of the 2030 Agenda and supports UN Country Teams on environmental and climate change issues, by facilitating access to existing technical guidance and responding to requests for country support.</w:t>
      </w:r>
    </w:p>
    <w:p w14:paraId="39909FE4" w14:textId="6906300D"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WHO strongly supports the integration of health aspects into the Protocol on Strategic Environmental Assessment to the Convention on Environmental Impact Assessment in a Transboundary Context, which aims to provide </w:t>
      </w:r>
      <w:r w:rsidR="005F1598" w:rsidRPr="249D2BBD">
        <w:rPr>
          <w:rFonts w:ascii="Times New Roman" w:hAnsi="Times New Roman" w:cs="Times New Roman"/>
          <w:sz w:val="24"/>
          <w:szCs w:val="24"/>
          <w:lang w:val="en-GB"/>
        </w:rPr>
        <w:t>Member States with</w:t>
      </w:r>
      <w:r w:rsidRPr="249D2BBD">
        <w:rPr>
          <w:rFonts w:ascii="Times New Roman" w:hAnsi="Times New Roman" w:cs="Times New Roman"/>
          <w:sz w:val="24"/>
          <w:szCs w:val="24"/>
          <w:lang w:val="en-GB"/>
        </w:rPr>
        <w:t xml:space="preserve"> a high level of protection of environment</w:t>
      </w:r>
      <w:r w:rsidR="005F1598" w:rsidRPr="249D2BBD">
        <w:rPr>
          <w:rFonts w:ascii="Times New Roman" w:hAnsi="Times New Roman" w:cs="Times New Roman"/>
          <w:sz w:val="24"/>
          <w:szCs w:val="24"/>
          <w:lang w:val="en-GB"/>
        </w:rPr>
        <w:t xml:space="preserve"> and </w:t>
      </w:r>
      <w:r w:rsidRPr="249D2BBD">
        <w:rPr>
          <w:rFonts w:ascii="Times New Roman" w:hAnsi="Times New Roman" w:cs="Times New Roman"/>
          <w:sz w:val="24"/>
          <w:szCs w:val="24"/>
          <w:lang w:val="en-GB"/>
        </w:rPr>
        <w:t>health.</w:t>
      </w:r>
    </w:p>
    <w:p w14:paraId="5B1D4C33" w14:textId="4864FFB8" w:rsidR="002D69B5" w:rsidRPr="009A1BDC" w:rsidRDefault="000C5DAB" w:rsidP="00E640B9">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lastRenderedPageBreak/>
        <w:t>The EHTF is committed to strengthen the collaboration with relevant international organizations and instruments, including through active participation in established platforms and advocating accession or ratification to multilateral environmental agreements, as relevant. To facilitate possible participation and cross-fertilization, key relevant meetings and events are listed in the rolling calendar attached to this document</w:t>
      </w:r>
      <w:r w:rsidR="00DC7BC7" w:rsidRPr="249D2BBD">
        <w:rPr>
          <w:rFonts w:ascii="Times New Roman" w:hAnsi="Times New Roman" w:cs="Times New Roman"/>
          <w:sz w:val="24"/>
          <w:szCs w:val="24"/>
          <w:lang w:val="en-GB"/>
        </w:rPr>
        <w:t xml:space="preserve"> (Annex </w:t>
      </w:r>
      <w:r w:rsidR="001B7669" w:rsidRPr="249D2BBD">
        <w:rPr>
          <w:rFonts w:ascii="Times New Roman" w:hAnsi="Times New Roman" w:cs="Times New Roman"/>
          <w:sz w:val="24"/>
          <w:szCs w:val="24"/>
          <w:lang w:val="en-GB"/>
        </w:rPr>
        <w:t>2</w:t>
      </w:r>
      <w:r w:rsidR="00DC7BC7" w:rsidRPr="249D2BBD">
        <w:rPr>
          <w:rFonts w:ascii="Times New Roman" w:hAnsi="Times New Roman" w:cs="Times New Roman"/>
          <w:sz w:val="24"/>
          <w:szCs w:val="24"/>
          <w:lang w:val="en-GB"/>
        </w:rPr>
        <w:t>).</w:t>
      </w:r>
    </w:p>
    <w:p w14:paraId="0C83D6A9" w14:textId="65D99E97" w:rsidR="000C5DAB" w:rsidRPr="00E640B9" w:rsidRDefault="00E640B9" w:rsidP="00354BFE">
      <w:pPr>
        <w:pStyle w:val="Heading2"/>
        <w:rPr>
          <w:lang w:val="en-GB"/>
        </w:rPr>
      </w:pPr>
      <w:bookmarkStart w:id="18" w:name="_Toc164096705"/>
      <w:r>
        <w:rPr>
          <w:lang w:val="en-GB"/>
        </w:rPr>
        <w:t>5.</w:t>
      </w:r>
      <w:r w:rsidR="000C5DAB" w:rsidRPr="00E640B9" w:rsidDel="00AE22E1">
        <w:rPr>
          <w:lang w:val="en-GB"/>
        </w:rPr>
        <w:t>6.</w:t>
      </w:r>
      <w:r w:rsidR="000C5DAB" w:rsidRPr="00E640B9">
        <w:rPr>
          <w:lang w:val="en-GB"/>
        </w:rPr>
        <w:t xml:space="preserve"> Cooperati</w:t>
      </w:r>
      <w:r w:rsidR="003E5D5D">
        <w:rPr>
          <w:lang w:val="en-GB"/>
        </w:rPr>
        <w:t>on</w:t>
      </w:r>
      <w:r w:rsidR="000C5DAB" w:rsidRPr="00E640B9">
        <w:rPr>
          <w:lang w:val="en-GB"/>
        </w:rPr>
        <w:t xml:space="preserve"> with other stakeholders and actors</w:t>
      </w:r>
      <w:bookmarkEnd w:id="18"/>
    </w:p>
    <w:p w14:paraId="38CED727" w14:textId="2920CFB6" w:rsidR="000C5DAB" w:rsidRPr="00354BFE"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EHTF is committed to strengthen the collaboration with relevant actors and stakeholders active on environment and health issues in the WHO European Region, including NGOs, civil </w:t>
      </w:r>
      <w:r w:rsidR="00DC7BC7" w:rsidRPr="249D2BBD">
        <w:rPr>
          <w:rFonts w:ascii="Times New Roman" w:hAnsi="Times New Roman" w:cs="Times New Roman"/>
          <w:sz w:val="24"/>
          <w:szCs w:val="24"/>
          <w:lang w:val="en-GB"/>
        </w:rPr>
        <w:t>society,</w:t>
      </w:r>
      <w:r w:rsidR="00710A87" w:rsidRPr="249D2BBD">
        <w:rPr>
          <w:rFonts w:ascii="Times New Roman" w:hAnsi="Times New Roman" w:cs="Times New Roman"/>
          <w:sz w:val="24"/>
          <w:szCs w:val="24"/>
          <w:lang w:val="en-GB"/>
        </w:rPr>
        <w:t xml:space="preserve"> and</w:t>
      </w:r>
      <w:r w:rsidRPr="249D2BBD">
        <w:rPr>
          <w:rFonts w:ascii="Times New Roman" w:hAnsi="Times New Roman" w:cs="Times New Roman"/>
          <w:sz w:val="24"/>
          <w:szCs w:val="24"/>
          <w:lang w:val="en-GB"/>
        </w:rPr>
        <w:t xml:space="preserve"> professional organizations. This will greatly enhance the impact of the actions and initiatives undertaken, tak</w:t>
      </w:r>
      <w:r w:rsidR="008A7D1B" w:rsidRPr="249D2BBD">
        <w:rPr>
          <w:rFonts w:ascii="Times New Roman" w:hAnsi="Times New Roman" w:cs="Times New Roman"/>
          <w:sz w:val="24"/>
          <w:szCs w:val="24"/>
          <w:lang w:val="en-GB"/>
        </w:rPr>
        <w:t>ing</w:t>
      </w:r>
      <w:r w:rsidRPr="249D2BBD">
        <w:rPr>
          <w:rFonts w:ascii="Times New Roman" w:hAnsi="Times New Roman" w:cs="Times New Roman"/>
          <w:sz w:val="24"/>
          <w:szCs w:val="24"/>
          <w:lang w:val="en-GB"/>
        </w:rPr>
        <w:t xml:space="preserve"> advantage of the experience gained outside the organization, and </w:t>
      </w:r>
      <w:r w:rsidR="008A7D1B" w:rsidRPr="249D2BBD">
        <w:rPr>
          <w:rFonts w:ascii="Times New Roman" w:hAnsi="Times New Roman" w:cs="Times New Roman"/>
          <w:sz w:val="24"/>
          <w:szCs w:val="24"/>
          <w:lang w:val="en-GB"/>
        </w:rPr>
        <w:t xml:space="preserve">will </w:t>
      </w:r>
      <w:r w:rsidRPr="249D2BBD">
        <w:rPr>
          <w:rFonts w:ascii="Times New Roman" w:hAnsi="Times New Roman" w:cs="Times New Roman"/>
          <w:sz w:val="24"/>
          <w:szCs w:val="24"/>
          <w:lang w:val="en-GB"/>
        </w:rPr>
        <w:t>increase the visibility of the EHP.</w:t>
      </w:r>
    </w:p>
    <w:p w14:paraId="793AE3F7" w14:textId="7BB47342" w:rsidR="003F0C8B" w:rsidRDefault="000C5DA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For this purpose, the EHTF will address requests coming from stakeholders, not included in the initial list of Annex II of the Ostrava Declaration, to be included in the list of recognized </w:t>
      </w:r>
      <w:r w:rsidR="007C3AD8" w:rsidRPr="249D2BBD">
        <w:rPr>
          <w:rFonts w:ascii="Times New Roman" w:hAnsi="Times New Roman" w:cs="Times New Roman"/>
          <w:sz w:val="24"/>
          <w:szCs w:val="24"/>
          <w:lang w:val="en-GB"/>
        </w:rPr>
        <w:t xml:space="preserve">EHP </w:t>
      </w:r>
      <w:r w:rsidRPr="249D2BBD">
        <w:rPr>
          <w:rFonts w:ascii="Times New Roman" w:hAnsi="Times New Roman" w:cs="Times New Roman"/>
          <w:sz w:val="24"/>
          <w:szCs w:val="24"/>
          <w:lang w:val="en-GB"/>
        </w:rPr>
        <w:t>stakeholders, according to the procedure set out in paragraph 1.2 of its Rules of Procedure, as adopted at its tenth meeting.</w:t>
      </w:r>
    </w:p>
    <w:p w14:paraId="64E10650" w14:textId="0669BF34" w:rsidR="00B5181D" w:rsidRPr="00113B5D" w:rsidRDefault="00710A87" w:rsidP="00B5181D">
      <w:pPr>
        <w:pStyle w:val="ListParagraph"/>
        <w:numPr>
          <w:ilvl w:val="0"/>
          <w:numId w:val="1"/>
        </w:numPr>
        <w:spacing w:before="120" w:after="120" w:line="259" w:lineRule="auto"/>
        <w:ind w:left="432" w:hanging="432"/>
        <w:jc w:val="both"/>
        <w:rPr>
          <w:rFonts w:ascii="Times New Roman" w:hAnsi="Times New Roman" w:cs="Times New Roman"/>
          <w:szCs w:val="24"/>
          <w:lang w:val="en-GB"/>
        </w:rPr>
      </w:pPr>
      <w:r w:rsidRPr="00F57D46">
        <w:rPr>
          <w:rFonts w:ascii="Times New Roman" w:hAnsi="Times New Roman" w:cs="Times New Roman"/>
          <w:sz w:val="24"/>
          <w:szCs w:val="24"/>
          <w:lang w:val="en-GB"/>
        </w:rPr>
        <w:t>The EHTF greatly appreciated the launch of the Budapest Youth Declaration</w:t>
      </w:r>
      <w:r w:rsidR="001B7669">
        <w:rPr>
          <w:rStyle w:val="FootnoteReference"/>
          <w:rFonts w:ascii="Times New Roman" w:hAnsi="Times New Roman" w:cs="Times New Roman"/>
          <w:sz w:val="24"/>
          <w:szCs w:val="24"/>
          <w:lang w:val="en-GB"/>
        </w:rPr>
        <w:footnoteReference w:id="14"/>
      </w:r>
      <w:r w:rsidRPr="00F57D46">
        <w:rPr>
          <w:rFonts w:ascii="Times New Roman" w:hAnsi="Times New Roman" w:cs="Times New Roman"/>
          <w:sz w:val="24"/>
          <w:szCs w:val="24"/>
          <w:lang w:val="en-GB"/>
        </w:rPr>
        <w:t xml:space="preserve"> and will consider and promote initiative</w:t>
      </w:r>
      <w:r w:rsidR="0019070D" w:rsidRPr="00F57D46">
        <w:rPr>
          <w:rFonts w:ascii="Times New Roman" w:hAnsi="Times New Roman" w:cs="Times New Roman"/>
          <w:sz w:val="24"/>
          <w:szCs w:val="24"/>
          <w:lang w:val="en-GB"/>
        </w:rPr>
        <w:t>s</w:t>
      </w:r>
      <w:r w:rsidRPr="00F57D46">
        <w:rPr>
          <w:rFonts w:ascii="Times New Roman" w:hAnsi="Times New Roman" w:cs="Times New Roman"/>
          <w:sz w:val="24"/>
          <w:szCs w:val="24"/>
          <w:lang w:val="en-GB"/>
        </w:rPr>
        <w:t xml:space="preserve"> to support the involvement of </w:t>
      </w:r>
      <w:r w:rsidR="007E0DF7" w:rsidRPr="00F57D46">
        <w:rPr>
          <w:rFonts w:ascii="Times New Roman" w:hAnsi="Times New Roman" w:cs="Times New Roman"/>
          <w:sz w:val="24"/>
          <w:szCs w:val="24"/>
          <w:lang w:val="en-GB"/>
        </w:rPr>
        <w:t>youth representatives in the EHP activities and in other relevant international framework</w:t>
      </w:r>
      <w:r w:rsidR="00D627B0" w:rsidRPr="00F57D46">
        <w:rPr>
          <w:rFonts w:ascii="Times New Roman" w:hAnsi="Times New Roman" w:cs="Times New Roman"/>
          <w:sz w:val="24"/>
          <w:szCs w:val="24"/>
          <w:lang w:val="en-GB"/>
        </w:rPr>
        <w:t>s</w:t>
      </w:r>
      <w:r w:rsidR="0019070D" w:rsidRPr="00F57D46">
        <w:rPr>
          <w:rFonts w:ascii="Times New Roman" w:hAnsi="Times New Roman" w:cs="Times New Roman"/>
          <w:sz w:val="24"/>
          <w:szCs w:val="24"/>
          <w:lang w:val="en-GB"/>
        </w:rPr>
        <w:t>.</w:t>
      </w:r>
      <w:r w:rsidR="00453C66" w:rsidRPr="00F57D46">
        <w:rPr>
          <w:rFonts w:ascii="Times New Roman" w:hAnsi="Times New Roman" w:cs="Times New Roman"/>
          <w:sz w:val="24"/>
          <w:szCs w:val="24"/>
          <w:lang w:val="en-GB"/>
        </w:rPr>
        <w:t xml:space="preserve"> This includes support</w:t>
      </w:r>
      <w:r w:rsidR="00F6793F" w:rsidRPr="00F57D46">
        <w:rPr>
          <w:rFonts w:ascii="Times New Roman" w:hAnsi="Times New Roman" w:cs="Times New Roman"/>
          <w:sz w:val="24"/>
          <w:szCs w:val="24"/>
          <w:lang w:val="en-GB"/>
        </w:rPr>
        <w:t xml:space="preserve"> </w:t>
      </w:r>
      <w:r w:rsidR="001A0479">
        <w:rPr>
          <w:rFonts w:ascii="Times New Roman" w:hAnsi="Times New Roman" w:cs="Times New Roman"/>
          <w:sz w:val="24"/>
          <w:szCs w:val="24"/>
          <w:lang w:val="en-GB"/>
        </w:rPr>
        <w:t xml:space="preserve">in </w:t>
      </w:r>
      <w:proofErr w:type="spellStart"/>
      <w:r w:rsidR="007730B8" w:rsidRPr="009C1C15">
        <w:rPr>
          <w:rFonts w:ascii="Times New Roman" w:hAnsi="Times New Roman" w:cs="Times New Roman"/>
          <w:sz w:val="24"/>
          <w:szCs w:val="24"/>
          <w:lang w:val="en-US"/>
        </w:rPr>
        <w:t>i</w:t>
      </w:r>
      <w:r w:rsidR="006B562D" w:rsidRPr="009C1C15">
        <w:rPr>
          <w:rFonts w:ascii="Times New Roman" w:hAnsi="Times New Roman" w:cs="Times New Roman"/>
          <w:sz w:val="24"/>
          <w:szCs w:val="24"/>
          <w:lang w:val="en-GB"/>
        </w:rPr>
        <w:t>ncreas</w:t>
      </w:r>
      <w:r w:rsidR="001A0479">
        <w:rPr>
          <w:rFonts w:ascii="Times New Roman" w:hAnsi="Times New Roman" w:cs="Times New Roman"/>
          <w:sz w:val="24"/>
          <w:szCs w:val="24"/>
          <w:lang w:val="en-GB"/>
        </w:rPr>
        <w:t>ing</w:t>
      </w:r>
      <w:proofErr w:type="spellEnd"/>
      <w:r w:rsidR="001A0479">
        <w:rPr>
          <w:rFonts w:ascii="Times New Roman" w:hAnsi="Times New Roman" w:cs="Times New Roman"/>
          <w:sz w:val="24"/>
          <w:szCs w:val="24"/>
          <w:lang w:val="en-GB"/>
        </w:rPr>
        <w:t xml:space="preserve"> the</w:t>
      </w:r>
      <w:r w:rsidR="006B562D" w:rsidRPr="009C1C15">
        <w:rPr>
          <w:rFonts w:ascii="Times New Roman" w:hAnsi="Times New Roman" w:cs="Times New Roman"/>
          <w:sz w:val="24"/>
          <w:szCs w:val="24"/>
          <w:lang w:val="en-GB"/>
        </w:rPr>
        <w:t xml:space="preserve"> role</w:t>
      </w:r>
      <w:r w:rsidR="006B562D" w:rsidRPr="006B562D">
        <w:rPr>
          <w:rFonts w:ascii="Times New Roman" w:hAnsi="Times New Roman" w:cs="Times New Roman"/>
          <w:sz w:val="24"/>
          <w:szCs w:val="24"/>
          <w:lang w:val="en-GB"/>
        </w:rPr>
        <w:t xml:space="preserve"> of the </w:t>
      </w:r>
      <w:r w:rsidR="006B562D">
        <w:rPr>
          <w:rFonts w:ascii="Times New Roman" w:hAnsi="Times New Roman" w:cs="Times New Roman"/>
          <w:sz w:val="24"/>
          <w:szCs w:val="24"/>
          <w:lang w:val="en-GB"/>
        </w:rPr>
        <w:t>y</w:t>
      </w:r>
      <w:r w:rsidR="006B562D" w:rsidRPr="006B562D">
        <w:rPr>
          <w:rFonts w:ascii="Times New Roman" w:hAnsi="Times New Roman" w:cs="Times New Roman"/>
          <w:sz w:val="24"/>
          <w:szCs w:val="24"/>
          <w:lang w:val="en-GB"/>
        </w:rPr>
        <w:t>outh in health and environment decision-making</w:t>
      </w:r>
      <w:r w:rsidR="007730B8">
        <w:rPr>
          <w:rFonts w:ascii="Times New Roman" w:hAnsi="Times New Roman" w:cs="Times New Roman"/>
          <w:sz w:val="24"/>
          <w:szCs w:val="24"/>
          <w:lang w:val="en-GB"/>
        </w:rPr>
        <w:t xml:space="preserve"> </w:t>
      </w:r>
      <w:r w:rsidR="006B562D" w:rsidRPr="006B562D">
        <w:rPr>
          <w:rFonts w:ascii="Times New Roman" w:hAnsi="Times New Roman" w:cs="Times New Roman"/>
          <w:sz w:val="24"/>
          <w:szCs w:val="24"/>
          <w:lang w:val="en-GB"/>
        </w:rPr>
        <w:t>to bridge generational gaps, foster inclusive policies, and creating opportunities for skill development</w:t>
      </w:r>
      <w:r w:rsidR="007730B8">
        <w:rPr>
          <w:rFonts w:ascii="Times New Roman" w:hAnsi="Times New Roman" w:cs="Times New Roman"/>
          <w:sz w:val="24"/>
          <w:szCs w:val="24"/>
          <w:lang w:val="en-GB"/>
        </w:rPr>
        <w:t>.</w:t>
      </w:r>
    </w:p>
    <w:p w14:paraId="38BD909C" w14:textId="68FEFD44" w:rsidR="00820333" w:rsidRDefault="00820333" w:rsidP="37589110">
      <w:pPr>
        <w:pStyle w:val="Heading1"/>
        <w:rPr>
          <w:lang w:val="en-GB"/>
        </w:rPr>
      </w:pPr>
      <w:bookmarkStart w:id="19" w:name="_Toc164096706"/>
      <w:r w:rsidRPr="2BFC280C">
        <w:rPr>
          <w:lang w:val="en-GB"/>
        </w:rPr>
        <w:t>6. Monitoring progress in the implementation of the Budapest commitments</w:t>
      </w:r>
      <w:bookmarkEnd w:id="19"/>
    </w:p>
    <w:p w14:paraId="45EB3544" w14:textId="75EEBA25" w:rsidR="00C4572E" w:rsidRPr="00C4572E" w:rsidRDefault="008134E1" w:rsidP="008D1C1E">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At the</w:t>
      </w:r>
      <w:r w:rsidR="00DC3CAF" w:rsidRPr="56B6E223">
        <w:rPr>
          <w:rFonts w:ascii="Times New Roman" w:hAnsi="Times New Roman" w:cs="Times New Roman"/>
          <w:sz w:val="24"/>
          <w:szCs w:val="24"/>
          <w:lang w:val="en-GB"/>
        </w:rPr>
        <w:t xml:space="preserve"> Budapest</w:t>
      </w:r>
      <w:r w:rsidRPr="56B6E223">
        <w:rPr>
          <w:rFonts w:ascii="Times New Roman" w:hAnsi="Times New Roman" w:cs="Times New Roman"/>
          <w:sz w:val="24"/>
          <w:szCs w:val="24"/>
          <w:lang w:val="en-GB"/>
        </w:rPr>
        <w:t xml:space="preserve"> Conference</w:t>
      </w:r>
      <w:r w:rsidR="00A655AE" w:rsidRPr="56B6E223">
        <w:rPr>
          <w:rFonts w:ascii="Times New Roman" w:hAnsi="Times New Roman" w:cs="Times New Roman"/>
          <w:sz w:val="24"/>
          <w:szCs w:val="24"/>
          <w:lang w:val="en-GB"/>
        </w:rPr>
        <w:t>,</w:t>
      </w:r>
      <w:r w:rsidR="00DC3CAF" w:rsidRPr="56B6E223">
        <w:rPr>
          <w:rFonts w:ascii="Times New Roman" w:hAnsi="Times New Roman" w:cs="Times New Roman"/>
          <w:sz w:val="24"/>
          <w:szCs w:val="24"/>
          <w:lang w:val="en-GB"/>
        </w:rPr>
        <w:t xml:space="preserve"> the</w:t>
      </w:r>
      <w:r w:rsidR="009F3704" w:rsidRPr="56B6E223">
        <w:rPr>
          <w:rFonts w:ascii="Times New Roman" w:hAnsi="Times New Roman" w:cs="Times New Roman"/>
          <w:sz w:val="24"/>
          <w:szCs w:val="24"/>
          <w:lang w:val="en-GB"/>
        </w:rPr>
        <w:t xml:space="preserve"> Secretariat presented the p</w:t>
      </w:r>
      <w:r w:rsidR="003F142B" w:rsidRPr="51F8B297">
        <w:rPr>
          <w:rFonts w:ascii="Times New Roman" w:hAnsi="Times New Roman" w:cs="Times New Roman"/>
          <w:sz w:val="24"/>
          <w:szCs w:val="24"/>
          <w:lang w:val="en-GB"/>
        </w:rPr>
        <w:t>rogress in the implementation of the Ostrava Declaration</w:t>
      </w:r>
      <w:r w:rsidR="00C4572E" w:rsidRPr="51F8B297">
        <w:rPr>
          <w:rFonts w:ascii="Times New Roman" w:hAnsi="Times New Roman" w:cs="Times New Roman"/>
          <w:sz w:val="24"/>
          <w:szCs w:val="24"/>
          <w:lang w:val="en-GB"/>
        </w:rPr>
        <w:t xml:space="preserve">. The assessment </w:t>
      </w:r>
      <w:r w:rsidR="001F0E12" w:rsidRPr="56B6E223">
        <w:rPr>
          <w:rFonts w:ascii="Times New Roman" w:hAnsi="Times New Roman" w:cs="Times New Roman"/>
          <w:sz w:val="24"/>
          <w:szCs w:val="24"/>
          <w:lang w:val="en-GB"/>
        </w:rPr>
        <w:t xml:space="preserve">indicates </w:t>
      </w:r>
      <w:r w:rsidR="00C4572E" w:rsidRPr="51F8B297">
        <w:rPr>
          <w:rFonts w:ascii="Times New Roman" w:hAnsi="Times New Roman" w:cs="Times New Roman"/>
          <w:sz w:val="24"/>
          <w:szCs w:val="24"/>
          <w:lang w:val="en-GB"/>
        </w:rPr>
        <w:t xml:space="preserve">that progress is mixed and, in most cases, insufficient; </w:t>
      </w:r>
      <w:r w:rsidR="005C0D88" w:rsidRPr="56B6E223">
        <w:rPr>
          <w:rFonts w:ascii="Times New Roman" w:hAnsi="Times New Roman" w:cs="Times New Roman"/>
          <w:sz w:val="24"/>
          <w:szCs w:val="24"/>
          <w:lang w:val="en-GB"/>
        </w:rPr>
        <w:t xml:space="preserve">however, </w:t>
      </w:r>
      <w:r w:rsidR="00C4572E" w:rsidRPr="51F8B297">
        <w:rPr>
          <w:rFonts w:ascii="Times New Roman" w:hAnsi="Times New Roman" w:cs="Times New Roman"/>
          <w:sz w:val="24"/>
          <w:szCs w:val="24"/>
          <w:lang w:val="en-GB"/>
        </w:rPr>
        <w:t>there are important differences in performance depending on the thematic priority area and subregion within the European Region</w:t>
      </w:r>
      <w:r w:rsidR="00C4572E" w:rsidRPr="37589110">
        <w:rPr>
          <w:rStyle w:val="FootnoteReference"/>
          <w:rFonts w:ascii="Times New Roman" w:hAnsi="Times New Roman" w:cs="Times New Roman"/>
          <w:sz w:val="24"/>
          <w:szCs w:val="24"/>
          <w:lang w:val="en-GB"/>
        </w:rPr>
        <w:footnoteReference w:id="15"/>
      </w:r>
      <w:r w:rsidR="00C4572E" w:rsidRPr="51F8B297">
        <w:rPr>
          <w:rFonts w:ascii="Times New Roman" w:hAnsi="Times New Roman" w:cs="Times New Roman"/>
          <w:sz w:val="24"/>
          <w:szCs w:val="24"/>
          <w:lang w:val="en-GB"/>
        </w:rPr>
        <w:t>.</w:t>
      </w:r>
    </w:p>
    <w:p w14:paraId="5CE16FFC" w14:textId="51651486" w:rsidR="007D4E1C" w:rsidRDefault="002775D5"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6B6E223">
        <w:rPr>
          <w:rFonts w:ascii="Times New Roman" w:hAnsi="Times New Roman" w:cs="Times New Roman"/>
          <w:sz w:val="24"/>
          <w:szCs w:val="24"/>
          <w:lang w:val="en-GB"/>
        </w:rPr>
        <w:t xml:space="preserve">In Budapest </w:t>
      </w:r>
      <w:r w:rsidR="001A5F25" w:rsidRPr="249D2BBD">
        <w:rPr>
          <w:rFonts w:ascii="Times New Roman" w:hAnsi="Times New Roman" w:cs="Times New Roman"/>
          <w:sz w:val="24"/>
          <w:szCs w:val="24"/>
          <w:lang w:val="en-GB"/>
        </w:rPr>
        <w:t>Member St</w:t>
      </w:r>
      <w:r w:rsidR="00705890" w:rsidRPr="249D2BBD">
        <w:rPr>
          <w:rFonts w:ascii="Times New Roman" w:hAnsi="Times New Roman" w:cs="Times New Roman"/>
          <w:sz w:val="24"/>
          <w:szCs w:val="24"/>
          <w:lang w:val="en-GB"/>
        </w:rPr>
        <w:t xml:space="preserve">ates </w:t>
      </w:r>
      <w:r w:rsidR="004F048B">
        <w:rPr>
          <w:rFonts w:ascii="Times New Roman" w:hAnsi="Times New Roman" w:cs="Times New Roman"/>
          <w:sz w:val="24"/>
          <w:szCs w:val="24"/>
          <w:lang w:val="en-GB"/>
        </w:rPr>
        <w:t xml:space="preserve">reconfirmed the </w:t>
      </w:r>
      <w:r w:rsidR="00015634" w:rsidRPr="56B6E223">
        <w:rPr>
          <w:rFonts w:ascii="Times New Roman" w:hAnsi="Times New Roman" w:cs="Times New Roman"/>
          <w:sz w:val="24"/>
          <w:szCs w:val="24"/>
          <w:lang w:val="en-GB"/>
        </w:rPr>
        <w:t>agree</w:t>
      </w:r>
      <w:r w:rsidR="004F048B">
        <w:rPr>
          <w:rFonts w:ascii="Times New Roman" w:hAnsi="Times New Roman" w:cs="Times New Roman"/>
          <w:sz w:val="24"/>
          <w:szCs w:val="24"/>
          <w:lang w:val="en-GB"/>
        </w:rPr>
        <w:t>ment</w:t>
      </w:r>
      <w:r w:rsidR="00705890" w:rsidRPr="249D2BBD">
        <w:rPr>
          <w:rFonts w:ascii="Times New Roman" w:hAnsi="Times New Roman" w:cs="Times New Roman"/>
          <w:sz w:val="24"/>
          <w:szCs w:val="24"/>
          <w:lang w:val="en-GB"/>
        </w:rPr>
        <w:t xml:space="preserve"> </w:t>
      </w:r>
      <w:r w:rsidR="002D584B" w:rsidRPr="249D2BBD">
        <w:rPr>
          <w:rFonts w:ascii="Times New Roman" w:hAnsi="Times New Roman" w:cs="Times New Roman"/>
          <w:sz w:val="24"/>
          <w:szCs w:val="24"/>
          <w:lang w:val="en-GB"/>
        </w:rPr>
        <w:t>to</w:t>
      </w:r>
      <w:r w:rsidR="00CF7374" w:rsidRPr="249D2BBD">
        <w:rPr>
          <w:rFonts w:ascii="Times New Roman" w:hAnsi="Times New Roman" w:cs="Times New Roman"/>
          <w:sz w:val="24"/>
          <w:szCs w:val="24"/>
          <w:lang w:val="en-GB"/>
        </w:rPr>
        <w:t xml:space="preserve"> </w:t>
      </w:r>
      <w:r w:rsidR="003D4371" w:rsidRPr="56B6E223">
        <w:rPr>
          <w:rFonts w:ascii="Times New Roman" w:hAnsi="Times New Roman" w:cs="Times New Roman"/>
          <w:sz w:val="24"/>
          <w:szCs w:val="24"/>
          <w:lang w:val="en-GB"/>
        </w:rPr>
        <w:t>measure and report on</w:t>
      </w:r>
      <w:r w:rsidR="00BF75A5" w:rsidRPr="56B6E223">
        <w:rPr>
          <w:rFonts w:ascii="Times New Roman" w:hAnsi="Times New Roman" w:cs="Times New Roman"/>
          <w:sz w:val="24"/>
          <w:szCs w:val="24"/>
          <w:lang w:val="en-GB"/>
        </w:rPr>
        <w:t xml:space="preserve"> the</w:t>
      </w:r>
      <w:r w:rsidR="005C7868" w:rsidRPr="249D2BBD">
        <w:rPr>
          <w:rFonts w:ascii="Times New Roman" w:hAnsi="Times New Roman" w:cs="Times New Roman"/>
          <w:sz w:val="24"/>
          <w:szCs w:val="24"/>
          <w:lang w:val="en-GB"/>
        </w:rPr>
        <w:t xml:space="preserve"> progress towards the implementation of Budapest commitments using national reporting on the achievement of the Sustainable Development Goals and other relevant reporting frameworks</w:t>
      </w:r>
      <w:r w:rsidR="00367D4A" w:rsidRPr="249D2BBD">
        <w:rPr>
          <w:rFonts w:ascii="Times New Roman" w:hAnsi="Times New Roman" w:cs="Times New Roman"/>
          <w:sz w:val="24"/>
          <w:szCs w:val="24"/>
          <w:lang w:val="en-GB"/>
        </w:rPr>
        <w:t xml:space="preserve"> (</w:t>
      </w:r>
      <w:r w:rsidR="00367D4A" w:rsidRPr="249D2BBD">
        <w:rPr>
          <w:rFonts w:ascii="Times New Roman" w:hAnsi="Times New Roman" w:cs="Times New Roman"/>
          <w:i/>
          <w:iCs/>
          <w:sz w:val="24"/>
          <w:szCs w:val="24"/>
          <w:lang w:val="en-GB"/>
        </w:rPr>
        <w:t>ref. para. 6 of the Budapest Declaration</w:t>
      </w:r>
      <w:r w:rsidR="00367D4A" w:rsidRPr="249D2BBD">
        <w:rPr>
          <w:rFonts w:ascii="Times New Roman" w:hAnsi="Times New Roman" w:cs="Times New Roman"/>
          <w:sz w:val="24"/>
          <w:szCs w:val="24"/>
          <w:lang w:val="en-GB"/>
        </w:rPr>
        <w:t>).</w:t>
      </w:r>
    </w:p>
    <w:p w14:paraId="3E39CDF0" w14:textId="7B76A8C0" w:rsidR="00B9230E" w:rsidRPr="00A2326D" w:rsidRDefault="004C407B"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51F8B297">
        <w:rPr>
          <w:rFonts w:ascii="Times New Roman" w:hAnsi="Times New Roman" w:cs="Times New Roman"/>
          <w:sz w:val="24"/>
          <w:szCs w:val="24"/>
          <w:lang w:val="en-GB"/>
        </w:rPr>
        <w:t xml:space="preserve">Member States committed to </w:t>
      </w:r>
      <w:r w:rsidR="006358B9" w:rsidRPr="51F8B297">
        <w:rPr>
          <w:rFonts w:ascii="Times New Roman" w:hAnsi="Times New Roman" w:cs="Times New Roman"/>
          <w:sz w:val="24"/>
          <w:szCs w:val="24"/>
          <w:lang w:val="en-GB"/>
        </w:rPr>
        <w:t xml:space="preserve">develop and update their National Portfolios </w:t>
      </w:r>
      <w:r w:rsidR="00367D4A">
        <w:rPr>
          <w:rFonts w:ascii="Times New Roman" w:hAnsi="Times New Roman" w:cs="Times New Roman"/>
          <w:sz w:val="24"/>
          <w:szCs w:val="24"/>
          <w:lang w:val="en-GB"/>
        </w:rPr>
        <w:t xml:space="preserve">of </w:t>
      </w:r>
      <w:r w:rsidR="00EA2551" w:rsidRPr="51F8B297">
        <w:rPr>
          <w:rFonts w:ascii="Times New Roman" w:hAnsi="Times New Roman" w:cs="Times New Roman"/>
          <w:sz w:val="24"/>
          <w:szCs w:val="24"/>
          <w:lang w:val="en-GB"/>
        </w:rPr>
        <w:t>A</w:t>
      </w:r>
      <w:r w:rsidR="006358B9" w:rsidRPr="51F8B297">
        <w:rPr>
          <w:rFonts w:ascii="Times New Roman" w:hAnsi="Times New Roman" w:cs="Times New Roman"/>
          <w:sz w:val="24"/>
          <w:szCs w:val="24"/>
          <w:lang w:val="en-GB"/>
        </w:rPr>
        <w:t>ction</w:t>
      </w:r>
      <w:r w:rsidR="00367D4A">
        <w:rPr>
          <w:rFonts w:ascii="Times New Roman" w:hAnsi="Times New Roman" w:cs="Times New Roman"/>
          <w:sz w:val="24"/>
          <w:szCs w:val="24"/>
          <w:lang w:val="en-GB"/>
        </w:rPr>
        <w:t>s</w:t>
      </w:r>
      <w:r w:rsidR="006F756A" w:rsidRPr="51F8B297">
        <w:rPr>
          <w:rFonts w:ascii="Times New Roman" w:hAnsi="Times New Roman" w:cs="Times New Roman"/>
          <w:sz w:val="24"/>
          <w:szCs w:val="24"/>
          <w:lang w:val="en-GB"/>
        </w:rPr>
        <w:t xml:space="preserve">, taking on board the </w:t>
      </w:r>
      <w:r w:rsidR="009B065B" w:rsidRPr="51F8B297">
        <w:rPr>
          <w:rFonts w:ascii="Times New Roman" w:hAnsi="Times New Roman" w:cs="Times New Roman"/>
          <w:sz w:val="24"/>
          <w:szCs w:val="24"/>
          <w:lang w:val="en-GB"/>
        </w:rPr>
        <w:t xml:space="preserve">renewed framework set up in the Budapest Declaration, </w:t>
      </w:r>
      <w:proofErr w:type="gramStart"/>
      <w:r w:rsidR="009B065B" w:rsidRPr="51F8B297">
        <w:rPr>
          <w:rFonts w:ascii="Times New Roman" w:hAnsi="Times New Roman" w:cs="Times New Roman"/>
          <w:sz w:val="24"/>
          <w:szCs w:val="24"/>
          <w:lang w:val="en-GB"/>
        </w:rPr>
        <w:t>in particular adding</w:t>
      </w:r>
      <w:proofErr w:type="gramEnd"/>
      <w:r w:rsidR="009B065B" w:rsidRPr="51F8B297">
        <w:rPr>
          <w:rFonts w:ascii="Times New Roman" w:hAnsi="Times New Roman" w:cs="Times New Roman"/>
          <w:sz w:val="24"/>
          <w:szCs w:val="24"/>
          <w:lang w:val="en-GB"/>
        </w:rPr>
        <w:t xml:space="preserve"> the </w:t>
      </w:r>
      <w:r w:rsidR="00B9230E" w:rsidRPr="51F8B297">
        <w:rPr>
          <w:rFonts w:ascii="Times New Roman" w:hAnsi="Times New Roman" w:cs="Times New Roman"/>
          <w:sz w:val="24"/>
          <w:szCs w:val="24"/>
          <w:lang w:val="en-GB"/>
        </w:rPr>
        <w:t>links between nature, biodiversity and health</w:t>
      </w:r>
      <w:r w:rsidR="00181646" w:rsidRPr="51F8B297">
        <w:rPr>
          <w:rFonts w:ascii="Times New Roman" w:hAnsi="Times New Roman" w:cs="Times New Roman"/>
          <w:sz w:val="24"/>
          <w:szCs w:val="24"/>
          <w:lang w:val="en-GB"/>
        </w:rPr>
        <w:t xml:space="preserve">. </w:t>
      </w:r>
      <w:r w:rsidR="00A2326D" w:rsidRPr="51F8B297">
        <w:rPr>
          <w:rFonts w:ascii="Times New Roman" w:hAnsi="Times New Roman" w:cs="Times New Roman"/>
          <w:sz w:val="24"/>
          <w:szCs w:val="24"/>
          <w:lang w:val="en-GB"/>
        </w:rPr>
        <w:t>Recommendations from a</w:t>
      </w:r>
      <w:r w:rsidR="00181646" w:rsidRPr="51F8B297">
        <w:rPr>
          <w:rFonts w:ascii="Times New Roman" w:hAnsi="Times New Roman" w:cs="Times New Roman"/>
          <w:sz w:val="24"/>
          <w:szCs w:val="24"/>
          <w:lang w:val="en-GB"/>
        </w:rPr>
        <w:t xml:space="preserve"> recent </w:t>
      </w:r>
      <w:r w:rsidR="003F66E0" w:rsidRPr="51F8B297">
        <w:rPr>
          <w:rFonts w:ascii="Times New Roman" w:hAnsi="Times New Roman" w:cs="Times New Roman"/>
          <w:sz w:val="24"/>
          <w:szCs w:val="24"/>
          <w:lang w:val="en-GB"/>
        </w:rPr>
        <w:t>assessment of the status and developments of the National Portfolios in the Region</w:t>
      </w:r>
      <w:r w:rsidR="00927E17" w:rsidRPr="51F8B297" w:rsidDel="00A11036">
        <w:rPr>
          <w:rFonts w:ascii="Times New Roman" w:hAnsi="Times New Roman" w:cs="Times New Roman"/>
          <w:sz w:val="24"/>
          <w:szCs w:val="24"/>
          <w:lang w:val="en-GB"/>
        </w:rPr>
        <w:t xml:space="preserve"> </w:t>
      </w:r>
      <w:r w:rsidR="00181646" w:rsidRPr="00A2326D">
        <w:rPr>
          <w:rStyle w:val="FootnoteReference"/>
          <w:rFonts w:ascii="Times New Roman" w:hAnsi="Times New Roman" w:cs="Times New Roman"/>
          <w:sz w:val="24"/>
          <w:szCs w:val="24"/>
          <w:lang w:val="en-GB"/>
        </w:rPr>
        <w:footnoteReference w:id="16"/>
      </w:r>
      <w:r w:rsidR="00181646" w:rsidRPr="51F8B297">
        <w:rPr>
          <w:rFonts w:ascii="Times New Roman" w:hAnsi="Times New Roman" w:cs="Times New Roman"/>
          <w:sz w:val="24"/>
          <w:szCs w:val="24"/>
          <w:lang w:val="en-GB"/>
        </w:rPr>
        <w:t xml:space="preserve"> </w:t>
      </w:r>
      <w:r w:rsidR="00927E17" w:rsidRPr="51F8B297">
        <w:rPr>
          <w:rFonts w:ascii="Times New Roman" w:hAnsi="Times New Roman" w:cs="Times New Roman"/>
          <w:sz w:val="24"/>
          <w:szCs w:val="24"/>
          <w:lang w:val="en-GB"/>
        </w:rPr>
        <w:t>includ</w:t>
      </w:r>
      <w:r w:rsidR="00181646" w:rsidRPr="51F8B297">
        <w:rPr>
          <w:rFonts w:ascii="Times New Roman" w:hAnsi="Times New Roman" w:cs="Times New Roman"/>
          <w:sz w:val="24"/>
          <w:szCs w:val="24"/>
          <w:lang w:val="en-GB"/>
        </w:rPr>
        <w:t xml:space="preserve">e </w:t>
      </w:r>
      <w:r w:rsidR="00927E17" w:rsidRPr="51F8B297">
        <w:rPr>
          <w:rFonts w:ascii="Times New Roman" w:hAnsi="Times New Roman" w:cs="Times New Roman"/>
          <w:sz w:val="24"/>
          <w:szCs w:val="24"/>
          <w:lang w:val="en-GB"/>
        </w:rPr>
        <w:t>clarif</w:t>
      </w:r>
      <w:r w:rsidR="00A2326D" w:rsidRPr="51F8B297">
        <w:rPr>
          <w:rFonts w:ascii="Times New Roman" w:hAnsi="Times New Roman" w:cs="Times New Roman"/>
          <w:sz w:val="24"/>
          <w:szCs w:val="24"/>
          <w:lang w:val="en-GB"/>
        </w:rPr>
        <w:t>ication of</w:t>
      </w:r>
      <w:r w:rsidR="00181646" w:rsidRPr="51F8B297">
        <w:rPr>
          <w:rFonts w:ascii="Times New Roman" w:hAnsi="Times New Roman" w:cs="Times New Roman"/>
          <w:sz w:val="24"/>
          <w:szCs w:val="24"/>
          <w:lang w:val="en-GB"/>
        </w:rPr>
        <w:t xml:space="preserve"> </w:t>
      </w:r>
      <w:r w:rsidR="00927E17" w:rsidRPr="51F8B297">
        <w:rPr>
          <w:rFonts w:ascii="Times New Roman" w:hAnsi="Times New Roman" w:cs="Times New Roman"/>
          <w:sz w:val="24"/>
          <w:szCs w:val="24"/>
          <w:lang w:val="en-GB"/>
        </w:rPr>
        <w:t xml:space="preserve">responsibilities, </w:t>
      </w:r>
      <w:r w:rsidR="00A2326D" w:rsidRPr="51F8B297">
        <w:rPr>
          <w:rFonts w:ascii="Times New Roman" w:hAnsi="Times New Roman" w:cs="Times New Roman"/>
          <w:sz w:val="24"/>
          <w:szCs w:val="24"/>
          <w:lang w:val="en-GB"/>
        </w:rPr>
        <w:t xml:space="preserve">the </w:t>
      </w:r>
      <w:r w:rsidR="00927E17" w:rsidRPr="51F8B297">
        <w:rPr>
          <w:rFonts w:ascii="Times New Roman" w:hAnsi="Times New Roman" w:cs="Times New Roman"/>
          <w:sz w:val="24"/>
          <w:szCs w:val="24"/>
          <w:lang w:val="en-GB"/>
        </w:rPr>
        <w:t>defin</w:t>
      </w:r>
      <w:r w:rsidR="00A2326D" w:rsidRPr="51F8B297">
        <w:rPr>
          <w:rFonts w:ascii="Times New Roman" w:hAnsi="Times New Roman" w:cs="Times New Roman"/>
          <w:sz w:val="24"/>
          <w:szCs w:val="24"/>
          <w:lang w:val="en-GB"/>
        </w:rPr>
        <w:t>ition of</w:t>
      </w:r>
      <w:r w:rsidR="00927E17" w:rsidRPr="51F8B297">
        <w:rPr>
          <w:rFonts w:ascii="Times New Roman" w:hAnsi="Times New Roman" w:cs="Times New Roman"/>
          <w:sz w:val="24"/>
          <w:szCs w:val="24"/>
          <w:lang w:val="en-GB"/>
        </w:rPr>
        <w:t xml:space="preserve"> indicators and </w:t>
      </w:r>
      <w:r w:rsidR="00A2326D" w:rsidRPr="51F8B297">
        <w:rPr>
          <w:rFonts w:ascii="Times New Roman" w:hAnsi="Times New Roman" w:cs="Times New Roman"/>
          <w:sz w:val="24"/>
          <w:szCs w:val="24"/>
          <w:lang w:val="en-GB"/>
        </w:rPr>
        <w:t xml:space="preserve">of </w:t>
      </w:r>
      <w:r w:rsidR="00927E17" w:rsidRPr="51F8B297">
        <w:rPr>
          <w:rFonts w:ascii="Times New Roman" w:hAnsi="Times New Roman" w:cs="Times New Roman"/>
          <w:sz w:val="24"/>
          <w:szCs w:val="24"/>
          <w:lang w:val="en-GB"/>
        </w:rPr>
        <w:t>a timeline</w:t>
      </w:r>
      <w:r w:rsidR="00620E71">
        <w:rPr>
          <w:rFonts w:ascii="Times New Roman" w:hAnsi="Times New Roman" w:cs="Times New Roman"/>
          <w:sz w:val="24"/>
          <w:szCs w:val="24"/>
          <w:lang w:val="en-GB"/>
        </w:rPr>
        <w:t xml:space="preserve">. </w:t>
      </w:r>
      <w:r w:rsidR="001A1E90">
        <w:rPr>
          <w:rFonts w:ascii="Times New Roman" w:hAnsi="Times New Roman" w:cs="Times New Roman"/>
          <w:sz w:val="24"/>
          <w:szCs w:val="24"/>
          <w:lang w:val="en-GB"/>
        </w:rPr>
        <w:t>E</w:t>
      </w:r>
      <w:r w:rsidR="001A1E90" w:rsidRPr="001A1E90">
        <w:rPr>
          <w:rFonts w:ascii="Times New Roman" w:hAnsi="Times New Roman" w:cs="Times New Roman"/>
          <w:sz w:val="24"/>
          <w:szCs w:val="24"/>
          <w:lang w:val="en-GB"/>
        </w:rPr>
        <w:t xml:space="preserve">nhancing the monitoring mechanisms of the Portfolios could facilitate the tracking of Budapest commitments and offer </w:t>
      </w:r>
      <w:r w:rsidR="001A1E90" w:rsidRPr="001A1E90">
        <w:rPr>
          <w:rFonts w:ascii="Times New Roman" w:hAnsi="Times New Roman" w:cs="Times New Roman"/>
          <w:sz w:val="24"/>
          <w:szCs w:val="24"/>
          <w:lang w:val="en-GB"/>
        </w:rPr>
        <w:lastRenderedPageBreak/>
        <w:t xml:space="preserve">comprehensive insights into the </w:t>
      </w:r>
      <w:r w:rsidR="001A1E90">
        <w:rPr>
          <w:rFonts w:ascii="Times New Roman" w:hAnsi="Times New Roman" w:cs="Times New Roman"/>
          <w:sz w:val="24"/>
          <w:szCs w:val="24"/>
          <w:lang w:val="en-GB"/>
        </w:rPr>
        <w:t>situation</w:t>
      </w:r>
      <w:r w:rsidR="001A1E90" w:rsidRPr="001A1E90">
        <w:rPr>
          <w:rFonts w:ascii="Times New Roman" w:hAnsi="Times New Roman" w:cs="Times New Roman"/>
          <w:sz w:val="24"/>
          <w:szCs w:val="24"/>
          <w:lang w:val="en-GB"/>
        </w:rPr>
        <w:t xml:space="preserve"> across countries, thereby fostering better-informed decision-making processes.</w:t>
      </w:r>
    </w:p>
    <w:p w14:paraId="53A3CD69" w14:textId="47561C95" w:rsidR="000321A3" w:rsidRPr="000321A3" w:rsidRDefault="00927E17" w:rsidP="009A1BDC">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EHP Secretariat is available to provide support to Member States interested in receiving assistance in the development and implementation of their National Portfolios </w:t>
      </w:r>
      <w:r w:rsidR="00367D4A" w:rsidRPr="249D2BBD">
        <w:rPr>
          <w:rFonts w:ascii="Times New Roman" w:hAnsi="Times New Roman" w:cs="Times New Roman"/>
          <w:sz w:val="24"/>
          <w:szCs w:val="24"/>
          <w:lang w:val="en-GB"/>
        </w:rPr>
        <w:t>of Actions</w:t>
      </w:r>
      <w:r w:rsidR="00181646" w:rsidRPr="249D2BBD">
        <w:rPr>
          <w:rFonts w:ascii="Times New Roman" w:hAnsi="Times New Roman" w:cs="Times New Roman"/>
          <w:sz w:val="24"/>
          <w:szCs w:val="24"/>
          <w:lang w:val="en-GB"/>
        </w:rPr>
        <w:t xml:space="preserve">, according to the above </w:t>
      </w:r>
      <w:r w:rsidR="005F4A8B" w:rsidRPr="249D2BBD">
        <w:rPr>
          <w:rFonts w:ascii="Times New Roman" w:hAnsi="Times New Roman" w:cs="Times New Roman"/>
          <w:sz w:val="24"/>
          <w:szCs w:val="24"/>
          <w:lang w:val="en-GB"/>
        </w:rPr>
        <w:t>considerations.</w:t>
      </w:r>
    </w:p>
    <w:p w14:paraId="5B619320" w14:textId="20C8E655" w:rsidR="00820333" w:rsidRDefault="00820333" w:rsidP="37589110">
      <w:pPr>
        <w:pStyle w:val="Heading1"/>
        <w:rPr>
          <w:lang w:val="en-GB"/>
        </w:rPr>
      </w:pPr>
      <w:bookmarkStart w:id="20" w:name="_Toc164096707"/>
      <w:r w:rsidRPr="2BFC280C">
        <w:rPr>
          <w:lang w:val="en-GB"/>
        </w:rPr>
        <w:t>7. Advocacy</w:t>
      </w:r>
      <w:r w:rsidR="00E640B9">
        <w:rPr>
          <w:lang w:val="en-GB"/>
        </w:rPr>
        <w:t xml:space="preserve">, INFORMATION </w:t>
      </w:r>
      <w:r w:rsidRPr="2BFC280C">
        <w:rPr>
          <w:lang w:val="en-GB"/>
        </w:rPr>
        <w:t>and communication</w:t>
      </w:r>
      <w:bookmarkEnd w:id="20"/>
    </w:p>
    <w:p w14:paraId="57E78BA8" w14:textId="6E6D9FE8" w:rsidR="0054398D" w:rsidRDefault="006F1CF9" w:rsidP="00D84B4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r w:rsidR="00BD69E3" w:rsidRPr="249D2BBD">
        <w:rPr>
          <w:rFonts w:ascii="Times New Roman" w:hAnsi="Times New Roman" w:cs="Times New Roman"/>
          <w:sz w:val="24"/>
          <w:szCs w:val="24"/>
          <w:lang w:val="en-GB"/>
        </w:rPr>
        <w:t xml:space="preserve">EHTF is invited to continue sharing </w:t>
      </w:r>
      <w:r w:rsidR="00D00155" w:rsidRPr="249D2BBD">
        <w:rPr>
          <w:rFonts w:ascii="Times New Roman" w:hAnsi="Times New Roman" w:cs="Times New Roman"/>
          <w:sz w:val="24"/>
          <w:szCs w:val="24"/>
          <w:lang w:val="en-GB"/>
        </w:rPr>
        <w:t xml:space="preserve">with the EHP Secretariat </w:t>
      </w:r>
      <w:r w:rsidR="00BD69E3" w:rsidRPr="249D2BBD">
        <w:rPr>
          <w:rFonts w:ascii="Times New Roman" w:hAnsi="Times New Roman" w:cs="Times New Roman"/>
          <w:sz w:val="24"/>
          <w:szCs w:val="24"/>
          <w:lang w:val="en-GB"/>
        </w:rPr>
        <w:t xml:space="preserve">regular country updates and developments on environment and health priorities, </w:t>
      </w:r>
      <w:r w:rsidR="00DC7BC7" w:rsidRPr="249D2BBD">
        <w:rPr>
          <w:rFonts w:ascii="Times New Roman" w:hAnsi="Times New Roman" w:cs="Times New Roman"/>
          <w:sz w:val="24"/>
          <w:szCs w:val="24"/>
          <w:lang w:val="en-GB"/>
        </w:rPr>
        <w:t>developments,</w:t>
      </w:r>
      <w:r w:rsidR="00BD69E3" w:rsidRPr="249D2BBD">
        <w:rPr>
          <w:rFonts w:ascii="Times New Roman" w:hAnsi="Times New Roman" w:cs="Times New Roman"/>
          <w:sz w:val="24"/>
          <w:szCs w:val="24"/>
          <w:lang w:val="en-GB"/>
        </w:rPr>
        <w:t xml:space="preserve"> and initiatives at international and national levels to address the health dimension of the triple crisis of climate change, environmental </w:t>
      </w:r>
      <w:proofErr w:type="gramStart"/>
      <w:r w:rsidR="00BD69E3" w:rsidRPr="249D2BBD">
        <w:rPr>
          <w:rFonts w:ascii="Times New Roman" w:hAnsi="Times New Roman" w:cs="Times New Roman"/>
          <w:sz w:val="24"/>
          <w:szCs w:val="24"/>
          <w:lang w:val="en-GB"/>
        </w:rPr>
        <w:t>pollution</w:t>
      </w:r>
      <w:proofErr w:type="gramEnd"/>
      <w:r w:rsidR="00BD69E3" w:rsidRPr="249D2BBD">
        <w:rPr>
          <w:rFonts w:ascii="Times New Roman" w:hAnsi="Times New Roman" w:cs="Times New Roman"/>
          <w:sz w:val="24"/>
          <w:szCs w:val="24"/>
          <w:lang w:val="en-GB"/>
        </w:rPr>
        <w:t xml:space="preserve"> and biodiversity loss, as well as on relevant upcoming events.</w:t>
      </w:r>
    </w:p>
    <w:p w14:paraId="1A18DBF3" w14:textId="088EE4DB" w:rsidR="0047608E" w:rsidRPr="0047608E" w:rsidRDefault="006F1CF9" w:rsidP="00D84B4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r w:rsidR="00533A31" w:rsidRPr="249D2BBD">
        <w:rPr>
          <w:rFonts w:ascii="Times New Roman" w:hAnsi="Times New Roman" w:cs="Times New Roman"/>
          <w:sz w:val="24"/>
          <w:szCs w:val="24"/>
          <w:lang w:val="en-GB"/>
        </w:rPr>
        <w:t xml:space="preserve">quarterly </w:t>
      </w:r>
      <w:hyperlink r:id="rId18">
        <w:r w:rsidR="3531FE9E" w:rsidRPr="249D2BBD">
          <w:rPr>
            <w:rStyle w:val="Hyperlink"/>
            <w:rFonts w:ascii="Times New Roman" w:hAnsi="Times New Roman" w:cs="Times New Roman"/>
            <w:sz w:val="24"/>
            <w:szCs w:val="24"/>
            <w:lang w:val="en-GB"/>
          </w:rPr>
          <w:t>EHP Newsletter</w:t>
        </w:r>
      </w:hyperlink>
      <w:r w:rsidR="0047608E" w:rsidRPr="249D2BBD">
        <w:rPr>
          <w:rFonts w:ascii="Times New Roman" w:hAnsi="Times New Roman" w:cs="Times New Roman"/>
          <w:sz w:val="24"/>
          <w:szCs w:val="24"/>
          <w:lang w:val="en-GB"/>
        </w:rPr>
        <w:t xml:space="preserve"> is fully dedicated to disseminating </w:t>
      </w:r>
      <w:r w:rsidR="00533A31" w:rsidRPr="249D2BBD">
        <w:rPr>
          <w:rFonts w:ascii="Times New Roman" w:hAnsi="Times New Roman" w:cs="Times New Roman"/>
          <w:sz w:val="24"/>
          <w:szCs w:val="24"/>
          <w:lang w:val="en-GB"/>
        </w:rPr>
        <w:t>information on all initiatives, events, publications</w:t>
      </w:r>
      <w:r w:rsidR="0072776C" w:rsidRPr="249D2BBD">
        <w:rPr>
          <w:rFonts w:ascii="Times New Roman" w:hAnsi="Times New Roman" w:cs="Times New Roman"/>
          <w:sz w:val="24"/>
          <w:szCs w:val="24"/>
          <w:lang w:val="en-GB"/>
        </w:rPr>
        <w:t xml:space="preserve"> that are relevant for the EHP and the EHTF.</w:t>
      </w:r>
      <w:r w:rsidR="0047608E" w:rsidRPr="249D2BBD">
        <w:rPr>
          <w:rFonts w:ascii="Times New Roman" w:hAnsi="Times New Roman" w:cs="Times New Roman"/>
          <w:sz w:val="24"/>
          <w:szCs w:val="24"/>
          <w:lang w:val="en-GB"/>
        </w:rPr>
        <w:t xml:space="preserve"> The Newsletter has consistently proven itself as an effective tool for fostering robust engagement and knowledge sharing within the dynamic and diverse target audience of the EHTF, as well as the </w:t>
      </w:r>
      <w:proofErr w:type="gramStart"/>
      <w:r w:rsidR="0047608E" w:rsidRPr="249D2BBD">
        <w:rPr>
          <w:rFonts w:ascii="Times New Roman" w:hAnsi="Times New Roman" w:cs="Times New Roman"/>
          <w:sz w:val="24"/>
          <w:szCs w:val="24"/>
          <w:lang w:val="en-GB"/>
        </w:rPr>
        <w:t>general public</w:t>
      </w:r>
      <w:proofErr w:type="gramEnd"/>
      <w:r w:rsidR="0047608E" w:rsidRPr="249D2BBD">
        <w:rPr>
          <w:rFonts w:ascii="Times New Roman" w:hAnsi="Times New Roman" w:cs="Times New Roman"/>
          <w:sz w:val="24"/>
          <w:szCs w:val="24"/>
          <w:lang w:val="en-GB"/>
        </w:rPr>
        <w:t>. Its availability on the WHO website enhances engagement with various interested partners and stakeholders.</w:t>
      </w:r>
    </w:p>
    <w:p w14:paraId="2E154FFC" w14:textId="2EEC6CF2" w:rsidR="00A20443" w:rsidRDefault="0061328E" w:rsidP="00D84B4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hyperlink r:id="rId19">
        <w:r w:rsidR="30229F20" w:rsidRPr="249D2BBD">
          <w:rPr>
            <w:rStyle w:val="Hyperlink"/>
            <w:rFonts w:ascii="Times New Roman" w:hAnsi="Times New Roman" w:cs="Times New Roman"/>
            <w:sz w:val="24"/>
            <w:szCs w:val="24"/>
            <w:lang w:val="en-GB"/>
          </w:rPr>
          <w:t>EHP SharePoint</w:t>
        </w:r>
      </w:hyperlink>
      <w:r w:rsidRPr="249D2BBD">
        <w:rPr>
          <w:rFonts w:ascii="Times New Roman" w:hAnsi="Times New Roman" w:cs="Times New Roman"/>
          <w:sz w:val="24"/>
          <w:szCs w:val="24"/>
          <w:lang w:val="en-GB"/>
        </w:rPr>
        <w:t xml:space="preserve">, a password-protected web site accessible to all the EHTF members, will continue to be the repository of all the relevant information about </w:t>
      </w:r>
      <w:r w:rsidR="00F26ACD" w:rsidRPr="249D2BBD">
        <w:rPr>
          <w:rFonts w:ascii="Times New Roman" w:hAnsi="Times New Roman" w:cs="Times New Roman"/>
          <w:sz w:val="24"/>
          <w:szCs w:val="24"/>
          <w:lang w:val="en-GB"/>
        </w:rPr>
        <w:t xml:space="preserve">past and future meetings under the EHP, including all the working and background </w:t>
      </w:r>
      <w:r w:rsidR="00A20443" w:rsidRPr="249D2BBD">
        <w:rPr>
          <w:rFonts w:ascii="Times New Roman" w:hAnsi="Times New Roman" w:cs="Times New Roman"/>
          <w:sz w:val="24"/>
          <w:szCs w:val="24"/>
          <w:lang w:val="en-GB"/>
        </w:rPr>
        <w:t>documents</w:t>
      </w:r>
      <w:r w:rsidR="00F26ACD" w:rsidRPr="249D2BBD">
        <w:rPr>
          <w:rFonts w:ascii="Times New Roman" w:hAnsi="Times New Roman" w:cs="Times New Roman"/>
          <w:sz w:val="24"/>
          <w:szCs w:val="24"/>
          <w:lang w:val="en-GB"/>
        </w:rPr>
        <w:t>, as well as the presentations made by speakers</w:t>
      </w:r>
      <w:r w:rsidR="00A20443" w:rsidRPr="249D2BBD">
        <w:rPr>
          <w:rFonts w:ascii="Times New Roman" w:hAnsi="Times New Roman" w:cs="Times New Roman"/>
          <w:sz w:val="24"/>
          <w:szCs w:val="24"/>
          <w:lang w:val="en-GB"/>
        </w:rPr>
        <w:t xml:space="preserve"> participating to those meetings.</w:t>
      </w:r>
      <w:r w:rsidR="000118D6">
        <w:rPr>
          <w:rFonts w:ascii="Times New Roman" w:hAnsi="Times New Roman" w:cs="Times New Roman"/>
          <w:sz w:val="24"/>
          <w:szCs w:val="24"/>
          <w:lang w:val="en-GB"/>
        </w:rPr>
        <w:t xml:space="preserve"> </w:t>
      </w:r>
      <w:r w:rsidR="005411DF">
        <w:rPr>
          <w:rFonts w:ascii="Times New Roman" w:hAnsi="Times New Roman" w:cs="Times New Roman"/>
          <w:sz w:val="24"/>
          <w:szCs w:val="24"/>
          <w:lang w:val="en-GB"/>
        </w:rPr>
        <w:t xml:space="preserve">Also, </w:t>
      </w:r>
      <w:r w:rsidR="00BA6483">
        <w:rPr>
          <w:rFonts w:ascii="Times New Roman" w:hAnsi="Times New Roman" w:cs="Times New Roman"/>
          <w:sz w:val="24"/>
          <w:szCs w:val="24"/>
          <w:lang w:val="en-GB"/>
        </w:rPr>
        <w:t xml:space="preserve">EHP </w:t>
      </w:r>
      <w:r w:rsidR="009A1E51">
        <w:rPr>
          <w:rFonts w:ascii="Times New Roman" w:hAnsi="Times New Roman" w:cs="Times New Roman"/>
          <w:sz w:val="24"/>
          <w:szCs w:val="24"/>
          <w:lang w:val="en-GB"/>
        </w:rPr>
        <w:t>Secretariat</w:t>
      </w:r>
      <w:r w:rsidR="00817923" w:rsidRPr="00817923">
        <w:rPr>
          <w:rFonts w:ascii="Times New Roman" w:hAnsi="Times New Roman" w:cs="Times New Roman"/>
          <w:sz w:val="24"/>
          <w:szCs w:val="24"/>
          <w:lang w:val="en-GB"/>
        </w:rPr>
        <w:t xml:space="preserve"> will </w:t>
      </w:r>
      <w:r w:rsidR="000118D6" w:rsidRPr="000118D6">
        <w:rPr>
          <w:rFonts w:ascii="Times New Roman" w:hAnsi="Times New Roman" w:cs="Times New Roman"/>
          <w:sz w:val="24"/>
          <w:szCs w:val="24"/>
          <w:lang w:val="en-GB"/>
        </w:rPr>
        <w:t>establish</w:t>
      </w:r>
      <w:r w:rsidR="00BA6483">
        <w:rPr>
          <w:rFonts w:ascii="Times New Roman" w:hAnsi="Times New Roman" w:cs="Times New Roman"/>
          <w:sz w:val="24"/>
          <w:szCs w:val="24"/>
          <w:lang w:val="en-GB"/>
        </w:rPr>
        <w:t xml:space="preserve"> </w:t>
      </w:r>
      <w:r w:rsidR="00817923" w:rsidRPr="00817923">
        <w:rPr>
          <w:rFonts w:ascii="Times New Roman" w:hAnsi="Times New Roman" w:cs="Times New Roman"/>
          <w:sz w:val="24"/>
          <w:szCs w:val="24"/>
          <w:lang w:val="en-GB"/>
        </w:rPr>
        <w:t>virtual</w:t>
      </w:r>
      <w:r w:rsidR="000118D6" w:rsidRPr="000118D6">
        <w:rPr>
          <w:rFonts w:ascii="Times New Roman" w:hAnsi="Times New Roman" w:cs="Times New Roman"/>
          <w:sz w:val="24"/>
          <w:szCs w:val="24"/>
          <w:lang w:val="en-GB"/>
        </w:rPr>
        <w:t xml:space="preserve"> workspaces </w:t>
      </w:r>
      <w:r w:rsidR="00817923" w:rsidRPr="00817923">
        <w:rPr>
          <w:rFonts w:ascii="Times New Roman" w:hAnsi="Times New Roman" w:cs="Times New Roman"/>
          <w:sz w:val="24"/>
          <w:szCs w:val="24"/>
          <w:lang w:val="en-GB"/>
        </w:rPr>
        <w:t>to serve as an</w:t>
      </w:r>
      <w:r w:rsidR="000118D6" w:rsidRPr="000118D6">
        <w:rPr>
          <w:rFonts w:ascii="Times New Roman" w:hAnsi="Times New Roman" w:cs="Times New Roman"/>
          <w:sz w:val="24"/>
          <w:szCs w:val="24"/>
          <w:lang w:val="en-GB"/>
        </w:rPr>
        <w:t xml:space="preserve"> internal platform for exchange and cooperation for each EHP Partnership</w:t>
      </w:r>
      <w:r w:rsidR="00817923" w:rsidRPr="00817923">
        <w:rPr>
          <w:rFonts w:ascii="Times New Roman" w:hAnsi="Times New Roman" w:cs="Times New Roman"/>
          <w:sz w:val="24"/>
          <w:szCs w:val="24"/>
          <w:lang w:val="en-GB"/>
        </w:rPr>
        <w:t>.</w:t>
      </w:r>
    </w:p>
    <w:p w14:paraId="39261D37" w14:textId="4008D662" w:rsidR="00A702B4" w:rsidRPr="005C7868" w:rsidRDefault="006F1CF9" w:rsidP="00D84B4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r w:rsidR="00A702B4" w:rsidRPr="249D2BBD">
        <w:rPr>
          <w:rFonts w:ascii="Times New Roman" w:hAnsi="Times New Roman" w:cs="Times New Roman"/>
          <w:sz w:val="24"/>
          <w:szCs w:val="24"/>
          <w:lang w:val="en-GB"/>
        </w:rPr>
        <w:t>EHP Secretariat will continue supporting the communication around a series of events that can convey potential partners to support the implementation of the agreements reached by the Budapest Conference.</w:t>
      </w:r>
    </w:p>
    <w:p w14:paraId="34A77A03" w14:textId="460A0DF9" w:rsidR="00A702B4" w:rsidRPr="005C7868" w:rsidRDefault="006F1CF9" w:rsidP="00D84B44">
      <w:pPr>
        <w:pStyle w:val="ListParagraph"/>
        <w:numPr>
          <w:ilvl w:val="0"/>
          <w:numId w:val="1"/>
        </w:numPr>
        <w:spacing w:before="120" w:after="120" w:line="259" w:lineRule="auto"/>
        <w:ind w:left="432" w:hanging="432"/>
        <w:contextualSpacing w:val="0"/>
        <w:jc w:val="both"/>
        <w:rPr>
          <w:rFonts w:ascii="Times New Roman" w:hAnsi="Times New Roman" w:cs="Times New Roman"/>
          <w:sz w:val="24"/>
          <w:szCs w:val="24"/>
          <w:lang w:val="en-GB"/>
        </w:rPr>
      </w:pPr>
      <w:r w:rsidRPr="249D2BBD">
        <w:rPr>
          <w:rFonts w:ascii="Times New Roman" w:hAnsi="Times New Roman" w:cs="Times New Roman"/>
          <w:sz w:val="24"/>
          <w:szCs w:val="24"/>
          <w:lang w:val="en-GB"/>
        </w:rPr>
        <w:t xml:space="preserve">The </w:t>
      </w:r>
      <w:r w:rsidR="00A702B4" w:rsidRPr="249D2BBD">
        <w:rPr>
          <w:rFonts w:ascii="Times New Roman" w:hAnsi="Times New Roman" w:cs="Times New Roman"/>
          <w:sz w:val="24"/>
          <w:szCs w:val="24"/>
          <w:lang w:val="en-GB"/>
        </w:rPr>
        <w:t xml:space="preserve">EHP Secretariat will strengthen linkages and outreach to UN partners and other partners regarding the </w:t>
      </w:r>
      <w:r w:rsidR="005C7868" w:rsidRPr="249D2BBD">
        <w:rPr>
          <w:rFonts w:ascii="Times New Roman" w:hAnsi="Times New Roman" w:cs="Times New Roman"/>
          <w:sz w:val="24"/>
          <w:szCs w:val="24"/>
          <w:lang w:val="en-GB"/>
        </w:rPr>
        <w:t>Budapest D</w:t>
      </w:r>
      <w:r w:rsidR="00A702B4" w:rsidRPr="249D2BBD">
        <w:rPr>
          <w:rFonts w:ascii="Times New Roman" w:hAnsi="Times New Roman" w:cs="Times New Roman"/>
          <w:sz w:val="24"/>
          <w:szCs w:val="24"/>
          <w:lang w:val="en-GB"/>
        </w:rPr>
        <w:t>eclaration by sharing materials and keeping them informed about further communication plans.</w:t>
      </w:r>
    </w:p>
    <w:p w14:paraId="0B4D7360" w14:textId="77777777" w:rsidR="00B7516A" w:rsidRDefault="00B7516A" w:rsidP="37589110">
      <w:pPr>
        <w:rPr>
          <w:rStyle w:val="Emphasis"/>
          <w:rFonts w:asciiTheme="majorHAnsi" w:eastAsiaTheme="majorEastAsia" w:hAnsiTheme="majorHAnsi" w:cstheme="majorBidi"/>
          <w:b/>
          <w:bCs/>
          <w:i w:val="0"/>
          <w:iCs w:val="0"/>
          <w:color w:val="C45911"/>
          <w:sz w:val="24"/>
          <w:szCs w:val="24"/>
          <w:lang w:val="en-GB"/>
        </w:rPr>
      </w:pPr>
      <w:r w:rsidRPr="37589110">
        <w:rPr>
          <w:rStyle w:val="Emphasis"/>
          <w:rFonts w:asciiTheme="majorHAnsi" w:eastAsiaTheme="majorEastAsia" w:hAnsiTheme="majorHAnsi" w:cstheme="majorBidi"/>
          <w:i w:val="0"/>
          <w:iCs w:val="0"/>
          <w:sz w:val="24"/>
          <w:szCs w:val="24"/>
          <w:lang w:val="en-GB"/>
        </w:rPr>
        <w:br w:type="page"/>
      </w:r>
    </w:p>
    <w:p w14:paraId="486A67A9" w14:textId="77777777" w:rsidR="005931CD" w:rsidRDefault="005931CD" w:rsidP="2BFC280C">
      <w:pPr>
        <w:pStyle w:val="Heading2"/>
        <w:rPr>
          <w:rStyle w:val="Emphasis"/>
          <w:rFonts w:asciiTheme="majorHAnsi" w:eastAsiaTheme="majorEastAsia" w:hAnsiTheme="majorHAnsi" w:cstheme="majorBidi"/>
          <w:i w:val="0"/>
          <w:iCs w:val="0"/>
          <w:sz w:val="22"/>
          <w:szCs w:val="22"/>
          <w:lang w:val="en-GB"/>
        </w:rPr>
        <w:sectPr w:rsidR="005931CD" w:rsidSect="00EC2A92">
          <w:headerReference w:type="default" r:id="rId20"/>
          <w:pgSz w:w="11907" w:h="16840" w:code="9"/>
          <w:pgMar w:top="1134" w:right="1276" w:bottom="964" w:left="1276" w:header="567" w:footer="284" w:gutter="0"/>
          <w:pgNumType w:start="1"/>
          <w:cols w:space="720"/>
          <w:docGrid w:linePitch="360"/>
        </w:sectPr>
      </w:pPr>
    </w:p>
    <w:p w14:paraId="49562664" w14:textId="6B6E0776" w:rsidR="00820333" w:rsidRDefault="00820333" w:rsidP="2BFC280C">
      <w:pPr>
        <w:pStyle w:val="Heading2"/>
        <w:rPr>
          <w:rStyle w:val="Emphasis"/>
          <w:rFonts w:asciiTheme="majorHAnsi" w:hAnsiTheme="majorHAnsi" w:cstheme="majorBidi"/>
          <w:i w:val="0"/>
          <w:sz w:val="22"/>
          <w:szCs w:val="22"/>
          <w:lang w:val="en-GB"/>
        </w:rPr>
      </w:pPr>
      <w:bookmarkStart w:id="21" w:name="_Toc164096708"/>
      <w:r w:rsidRPr="2BFC280C">
        <w:rPr>
          <w:rStyle w:val="Emphasis"/>
          <w:rFonts w:asciiTheme="majorHAnsi" w:eastAsiaTheme="majorEastAsia" w:hAnsiTheme="majorHAnsi" w:cstheme="majorBidi"/>
          <w:i w:val="0"/>
          <w:iCs w:val="0"/>
          <w:sz w:val="22"/>
          <w:szCs w:val="22"/>
          <w:lang w:val="en-GB"/>
        </w:rPr>
        <w:lastRenderedPageBreak/>
        <w:t xml:space="preserve">Annex 1. </w:t>
      </w:r>
      <w:r w:rsidR="00367D4A" w:rsidRPr="00354BFE">
        <w:rPr>
          <w:rStyle w:val="Emphasis"/>
          <w:rFonts w:asciiTheme="majorHAnsi" w:hAnsiTheme="majorHAnsi" w:cstheme="majorBidi"/>
          <w:i w:val="0"/>
          <w:iCs w:val="0"/>
          <w:sz w:val="22"/>
          <w:szCs w:val="22"/>
          <w:lang w:val="en-GB"/>
        </w:rPr>
        <w:t>Overview</w:t>
      </w:r>
      <w:r w:rsidR="00367D4A" w:rsidRPr="00354BFE">
        <w:rPr>
          <w:rStyle w:val="Emphasis"/>
          <w:rFonts w:asciiTheme="majorHAnsi" w:hAnsiTheme="majorHAnsi" w:cstheme="majorBidi"/>
          <w:i w:val="0"/>
          <w:sz w:val="22"/>
          <w:szCs w:val="22"/>
          <w:lang w:val="en-GB"/>
        </w:rPr>
        <w:t xml:space="preserve"> of </w:t>
      </w:r>
      <w:r w:rsidR="00CC7AC5">
        <w:rPr>
          <w:rStyle w:val="Emphasis"/>
          <w:rFonts w:asciiTheme="majorHAnsi" w:hAnsiTheme="majorHAnsi" w:cstheme="majorBidi"/>
          <w:i w:val="0"/>
          <w:sz w:val="22"/>
          <w:szCs w:val="22"/>
          <w:lang w:val="en-GB"/>
        </w:rPr>
        <w:t xml:space="preserve">anticipated activities in the </w:t>
      </w:r>
      <w:r w:rsidR="00367D4A" w:rsidRPr="00354BFE">
        <w:rPr>
          <w:rStyle w:val="Emphasis"/>
          <w:rFonts w:asciiTheme="majorHAnsi" w:hAnsiTheme="majorHAnsi" w:cstheme="majorBidi"/>
          <w:i w:val="0"/>
          <w:sz w:val="22"/>
          <w:szCs w:val="22"/>
          <w:lang w:val="en-GB"/>
        </w:rPr>
        <w:t>WHO bilateral collaborations (2024</w:t>
      </w:r>
      <w:r w:rsidR="001B58B4">
        <w:rPr>
          <w:rStyle w:val="Emphasis"/>
          <w:rFonts w:asciiTheme="majorHAnsi" w:eastAsia="Symbol" w:hAnsiTheme="majorHAnsi" w:cstheme="majorBidi"/>
          <w:i w:val="0"/>
          <w:sz w:val="22"/>
          <w:szCs w:val="22"/>
          <w:lang w:val="en-GB"/>
        </w:rPr>
        <w:t>-</w:t>
      </w:r>
      <w:r w:rsidR="00367D4A" w:rsidRPr="00354BFE">
        <w:rPr>
          <w:rStyle w:val="Emphasis"/>
          <w:rFonts w:asciiTheme="majorHAnsi" w:hAnsiTheme="majorHAnsi" w:cstheme="majorBidi"/>
          <w:i w:val="0"/>
          <w:sz w:val="22"/>
          <w:szCs w:val="22"/>
          <w:lang w:val="en-GB"/>
        </w:rPr>
        <w:t>2025) in Member States</w:t>
      </w:r>
      <w:bookmarkEnd w:id="21"/>
      <w:r w:rsidR="00367D4A" w:rsidRPr="00354BFE">
        <w:rPr>
          <w:rStyle w:val="Emphasis"/>
          <w:rFonts w:asciiTheme="majorHAnsi" w:hAnsiTheme="majorHAnsi" w:cstheme="majorBidi"/>
          <w:i w:val="0"/>
          <w:sz w:val="22"/>
          <w:szCs w:val="22"/>
          <w:lang w:val="en-GB"/>
        </w:rPr>
        <w:t xml:space="preserve"> </w:t>
      </w:r>
    </w:p>
    <w:tbl>
      <w:tblPr>
        <w:tblStyle w:val="TableGrid3"/>
        <w:tblW w:w="0" w:type="auto"/>
        <w:tblLook w:val="04A0" w:firstRow="1" w:lastRow="0" w:firstColumn="1" w:lastColumn="0" w:noHBand="0" w:noVBand="1"/>
      </w:tblPr>
      <w:tblGrid>
        <w:gridCol w:w="1533"/>
        <w:gridCol w:w="736"/>
        <w:gridCol w:w="1203"/>
        <w:gridCol w:w="1083"/>
        <w:gridCol w:w="841"/>
        <w:gridCol w:w="990"/>
        <w:gridCol w:w="787"/>
        <w:gridCol w:w="1006"/>
        <w:gridCol w:w="796"/>
        <w:gridCol w:w="896"/>
        <w:gridCol w:w="730"/>
        <w:gridCol w:w="444"/>
        <w:gridCol w:w="1229"/>
        <w:gridCol w:w="762"/>
        <w:gridCol w:w="1175"/>
        <w:gridCol w:w="516"/>
      </w:tblGrid>
      <w:tr w:rsidR="00AE7BAE" w:rsidRPr="00F1523C" w14:paraId="174514E9" w14:textId="77777777" w:rsidTr="00405CE1">
        <w:trPr>
          <w:trHeight w:val="274"/>
          <w:tblHeader/>
        </w:trPr>
        <w:tc>
          <w:tcPr>
            <w:tcW w:w="0" w:type="auto"/>
            <w:shd w:val="clear" w:color="auto" w:fill="1F3864" w:themeFill="accent5" w:themeFillShade="80"/>
            <w:vAlign w:val="center"/>
          </w:tcPr>
          <w:p w14:paraId="50A4F929" w14:textId="15AB788F" w:rsidR="00AE7BAE" w:rsidRPr="00AE7BAE" w:rsidRDefault="00AE7BAE" w:rsidP="005931CD">
            <w:pPr>
              <w:spacing w:before="40" w:after="40"/>
              <w:jc w:val="center"/>
              <w:rPr>
                <w:rFonts w:ascii="Times New Roman" w:eastAsia="Times New Roman" w:hAnsi="Times New Roman" w:cs="Times New Roman"/>
                <w:bCs/>
                <w:sz w:val="16"/>
                <w:szCs w:val="16"/>
              </w:rPr>
            </w:pPr>
            <w:r w:rsidRPr="00AE7BAE">
              <w:rPr>
                <w:rFonts w:ascii="Times New Roman" w:eastAsia="Times New Roman" w:hAnsi="Times New Roman" w:cs="Times New Roman"/>
                <w:bCs/>
                <w:sz w:val="16"/>
                <w:szCs w:val="16"/>
              </w:rPr>
              <w:t>Memb</w:t>
            </w:r>
            <w:r w:rsidRPr="00AE7BAE">
              <w:rPr>
                <w:rFonts w:ascii="Times New Roman" w:eastAsia="Times New Roman" w:hAnsi="Times New Roman" w:cs="Times New Roman"/>
                <w:bCs/>
                <w:sz w:val="16"/>
                <w:szCs w:val="16"/>
                <w:shd w:val="clear" w:color="auto" w:fill="1F3864" w:themeFill="accent5" w:themeFillShade="80"/>
              </w:rPr>
              <w:t>er</w:t>
            </w:r>
            <w:r w:rsidRPr="00AE7BAE">
              <w:rPr>
                <w:rFonts w:ascii="Times New Roman" w:eastAsia="Times New Roman" w:hAnsi="Times New Roman" w:cs="Times New Roman"/>
                <w:bCs/>
                <w:sz w:val="16"/>
                <w:szCs w:val="16"/>
              </w:rPr>
              <w:t xml:space="preserve"> </w:t>
            </w:r>
            <w:r w:rsidRPr="00AE7BAE">
              <w:rPr>
                <w:rFonts w:ascii="Times New Roman" w:eastAsia="Times New Roman" w:hAnsi="Times New Roman" w:cs="Times New Roman"/>
                <w:bCs/>
                <w:sz w:val="16"/>
                <w:szCs w:val="16"/>
                <w:shd w:val="clear" w:color="auto" w:fill="1F3864" w:themeFill="accent5" w:themeFillShade="80"/>
              </w:rPr>
              <w:t>Stat</w:t>
            </w:r>
            <w:r w:rsidRPr="00AE7BAE">
              <w:rPr>
                <w:rFonts w:ascii="Times New Roman" w:eastAsia="Times New Roman" w:hAnsi="Times New Roman" w:cs="Times New Roman"/>
                <w:bCs/>
                <w:sz w:val="16"/>
                <w:szCs w:val="16"/>
              </w:rPr>
              <w:t>es</w:t>
            </w:r>
          </w:p>
        </w:tc>
        <w:tc>
          <w:tcPr>
            <w:tcW w:w="0" w:type="auto"/>
            <w:gridSpan w:val="15"/>
            <w:shd w:val="clear" w:color="auto" w:fill="1F3864" w:themeFill="accent5" w:themeFillShade="80"/>
            <w:vAlign w:val="center"/>
          </w:tcPr>
          <w:p w14:paraId="3085C78C" w14:textId="5ADFA40A" w:rsidR="00AE7BAE" w:rsidRPr="00AE7BAE" w:rsidRDefault="00AE7BAE" w:rsidP="005931CD">
            <w:pPr>
              <w:spacing w:before="40" w:after="40"/>
              <w:jc w:val="center"/>
              <w:rPr>
                <w:rFonts w:ascii="Times New Roman" w:eastAsia="Times New Roman" w:hAnsi="Times New Roman" w:cs="Times New Roman"/>
                <w:bCs/>
                <w:sz w:val="16"/>
                <w:szCs w:val="16"/>
              </w:rPr>
            </w:pPr>
            <w:r w:rsidRPr="00AE7BAE">
              <w:rPr>
                <w:rFonts w:ascii="Times New Roman" w:eastAsia="Times New Roman" w:hAnsi="Times New Roman" w:cs="Times New Roman"/>
                <w:bCs/>
                <w:sz w:val="16"/>
                <w:szCs w:val="16"/>
              </w:rPr>
              <w:t>Budapest portfolio and other cross-cutting areas</w:t>
            </w:r>
          </w:p>
        </w:tc>
      </w:tr>
      <w:tr w:rsidR="00694B9A" w:rsidRPr="00F1523C" w14:paraId="47AC365B" w14:textId="77777777" w:rsidTr="00CF7885">
        <w:trPr>
          <w:tblHeader/>
        </w:trPr>
        <w:tc>
          <w:tcPr>
            <w:tcW w:w="0" w:type="auto"/>
            <w:vAlign w:val="center"/>
          </w:tcPr>
          <w:p w14:paraId="15933C99" w14:textId="77777777" w:rsidR="005931CD" w:rsidRPr="00AE7BAE" w:rsidRDefault="005931CD" w:rsidP="005931CD">
            <w:pPr>
              <w:spacing w:before="40" w:after="40"/>
              <w:jc w:val="center"/>
              <w:rPr>
                <w:rFonts w:ascii="Times New Roman" w:eastAsia="Times New Roman" w:hAnsi="Times New Roman" w:cs="Times New Roman"/>
                <w:bCs/>
                <w:sz w:val="12"/>
                <w:szCs w:val="12"/>
              </w:rPr>
            </w:pPr>
          </w:p>
        </w:tc>
        <w:tc>
          <w:tcPr>
            <w:tcW w:w="0" w:type="auto"/>
            <w:gridSpan w:val="3"/>
            <w:shd w:val="clear" w:color="auto" w:fill="B4C6E7" w:themeFill="accent5" w:themeFillTint="66"/>
            <w:vAlign w:val="center"/>
          </w:tcPr>
          <w:p w14:paraId="1B807F7F" w14:textId="639137B4"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 xml:space="preserve">Prioritizing action to tackle the most pressing health challenges related to climate change, </w:t>
            </w:r>
            <w:proofErr w:type="gramStart"/>
            <w:r w:rsidRPr="00AE7BAE">
              <w:rPr>
                <w:rFonts w:ascii="Times New Roman" w:eastAsia="Times New Roman" w:hAnsi="Times New Roman" w:cs="Times New Roman"/>
                <w:bCs/>
                <w:sz w:val="12"/>
                <w:szCs w:val="12"/>
              </w:rPr>
              <w:t>pollution</w:t>
            </w:r>
            <w:proofErr w:type="gramEnd"/>
            <w:r w:rsidRPr="00AE7BAE">
              <w:rPr>
                <w:rFonts w:ascii="Times New Roman" w:eastAsia="Times New Roman" w:hAnsi="Times New Roman" w:cs="Times New Roman"/>
                <w:bCs/>
                <w:sz w:val="12"/>
                <w:szCs w:val="12"/>
              </w:rPr>
              <w:t xml:space="preserve"> and biodiversity loss</w:t>
            </w:r>
          </w:p>
        </w:tc>
        <w:tc>
          <w:tcPr>
            <w:tcW w:w="0" w:type="auto"/>
            <w:gridSpan w:val="4"/>
            <w:shd w:val="clear" w:color="auto" w:fill="B4C6E7" w:themeFill="accent5" w:themeFillTint="66"/>
            <w:vAlign w:val="center"/>
          </w:tcPr>
          <w:p w14:paraId="1A715AB2" w14:textId="219EA88F"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Delivering essential services and a safe built environment for healthy and resilient communities</w:t>
            </w:r>
          </w:p>
        </w:tc>
        <w:tc>
          <w:tcPr>
            <w:tcW w:w="2422" w:type="dxa"/>
            <w:gridSpan w:val="3"/>
            <w:shd w:val="clear" w:color="auto" w:fill="B4C6E7" w:themeFill="accent5" w:themeFillTint="66"/>
            <w:vAlign w:val="center"/>
          </w:tcPr>
          <w:p w14:paraId="29552288" w14:textId="44F82BBD"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Strengthening governance, intersectoral collaboration, human resources and knowledge for health and environment</w:t>
            </w:r>
          </w:p>
        </w:tc>
        <w:tc>
          <w:tcPr>
            <w:tcW w:w="444" w:type="dxa"/>
            <w:vMerge w:val="restart"/>
            <w:shd w:val="clear" w:color="auto" w:fill="B4C6E7" w:themeFill="accent5" w:themeFillTint="66"/>
            <w:vAlign w:val="center"/>
          </w:tcPr>
          <w:p w14:paraId="20291B0C" w14:textId="7AAAB9E9" w:rsidR="003B5F0D" w:rsidRPr="00AE7BAE" w:rsidRDefault="003B5F0D" w:rsidP="005931CD">
            <w:pPr>
              <w:spacing w:before="40" w:after="40"/>
              <w:jc w:val="center"/>
              <w:rPr>
                <w:rFonts w:ascii="Times New Roman" w:eastAsia="Times New Roman" w:hAnsi="Times New Roman" w:cs="Times New Roman"/>
                <w:sz w:val="12"/>
                <w:szCs w:val="12"/>
              </w:rPr>
            </w:pPr>
            <w:r w:rsidRPr="00AE7BAE">
              <w:rPr>
                <w:rFonts w:ascii="Times New Roman" w:eastAsia="Times New Roman" w:hAnsi="Times New Roman" w:cs="Times New Roman"/>
                <w:sz w:val="12"/>
                <w:szCs w:val="12"/>
              </w:rPr>
              <w:t>EHP</w:t>
            </w:r>
          </w:p>
        </w:tc>
        <w:tc>
          <w:tcPr>
            <w:tcW w:w="1229" w:type="dxa"/>
            <w:vMerge w:val="restart"/>
            <w:shd w:val="clear" w:color="auto" w:fill="B4C6E7" w:themeFill="accent5" w:themeFillTint="66"/>
            <w:vAlign w:val="center"/>
          </w:tcPr>
          <w:p w14:paraId="421A891B" w14:textId="2C284699"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EHP Partnerships</w:t>
            </w:r>
          </w:p>
        </w:tc>
        <w:tc>
          <w:tcPr>
            <w:tcW w:w="0" w:type="auto"/>
            <w:vMerge w:val="restart"/>
            <w:shd w:val="clear" w:color="auto" w:fill="B4C6E7" w:themeFill="accent5" w:themeFillTint="66"/>
            <w:vAlign w:val="center"/>
          </w:tcPr>
          <w:p w14:paraId="0F0AB883" w14:textId="5E39D326"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National Portfolios</w:t>
            </w:r>
          </w:p>
        </w:tc>
        <w:tc>
          <w:tcPr>
            <w:tcW w:w="1175" w:type="dxa"/>
            <w:vMerge w:val="restart"/>
            <w:shd w:val="clear" w:color="auto" w:fill="B4C6E7" w:themeFill="accent5" w:themeFillTint="66"/>
            <w:vAlign w:val="center"/>
          </w:tcPr>
          <w:p w14:paraId="29553C0E" w14:textId="6ABB78D7"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Violence and injury prevention</w:t>
            </w:r>
          </w:p>
        </w:tc>
        <w:tc>
          <w:tcPr>
            <w:tcW w:w="516" w:type="dxa"/>
            <w:vMerge w:val="restart"/>
            <w:shd w:val="clear" w:color="auto" w:fill="B4C6E7" w:themeFill="accent5" w:themeFillTint="66"/>
            <w:vAlign w:val="center"/>
          </w:tcPr>
          <w:p w14:paraId="45ED9CFB" w14:textId="7F058D89" w:rsidR="005931CD" w:rsidRPr="00AE7BAE" w:rsidRDefault="00203497"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Youth</w:t>
            </w:r>
          </w:p>
        </w:tc>
      </w:tr>
      <w:tr w:rsidR="00AA6E5A" w:rsidRPr="00F1523C" w14:paraId="1CD489B3" w14:textId="77777777" w:rsidTr="00CF7885">
        <w:trPr>
          <w:tblHeader/>
        </w:trPr>
        <w:tc>
          <w:tcPr>
            <w:tcW w:w="0" w:type="auto"/>
            <w:vAlign w:val="center"/>
          </w:tcPr>
          <w:p w14:paraId="20ADF96B" w14:textId="77777777" w:rsidR="005931CD" w:rsidRPr="00F1523C" w:rsidRDefault="005931CD" w:rsidP="005931CD">
            <w:pPr>
              <w:spacing w:before="40" w:after="40"/>
              <w:jc w:val="center"/>
              <w:rPr>
                <w:rFonts w:ascii="Times New Roman" w:eastAsia="Times New Roman" w:hAnsi="Times New Roman" w:cs="Times New Roman"/>
                <w:bCs/>
                <w:sz w:val="16"/>
                <w:szCs w:val="16"/>
              </w:rPr>
            </w:pPr>
          </w:p>
        </w:tc>
        <w:tc>
          <w:tcPr>
            <w:tcW w:w="0" w:type="auto"/>
            <w:shd w:val="clear" w:color="auto" w:fill="D9E2F3" w:themeFill="accent5" w:themeFillTint="33"/>
            <w:vAlign w:val="center"/>
          </w:tcPr>
          <w:p w14:paraId="4D46511E" w14:textId="557E3635"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Climate change</w:t>
            </w:r>
          </w:p>
        </w:tc>
        <w:tc>
          <w:tcPr>
            <w:tcW w:w="0" w:type="auto"/>
            <w:shd w:val="clear" w:color="auto" w:fill="D9E2F3" w:themeFill="accent5" w:themeFillTint="33"/>
            <w:vAlign w:val="center"/>
          </w:tcPr>
          <w:p w14:paraId="1DA2BE2C" w14:textId="0E2A872E"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Environmental pollution</w:t>
            </w:r>
          </w:p>
        </w:tc>
        <w:tc>
          <w:tcPr>
            <w:tcW w:w="0" w:type="auto"/>
            <w:shd w:val="clear" w:color="auto" w:fill="D9E2F3" w:themeFill="accent5" w:themeFillTint="33"/>
            <w:vAlign w:val="center"/>
          </w:tcPr>
          <w:p w14:paraId="07666266" w14:textId="029481FF"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Biodiversity loss and land degradation</w:t>
            </w:r>
          </w:p>
        </w:tc>
        <w:tc>
          <w:tcPr>
            <w:tcW w:w="0" w:type="auto"/>
            <w:shd w:val="clear" w:color="auto" w:fill="D9E2F3" w:themeFill="accent5" w:themeFillTint="33"/>
            <w:vAlign w:val="center"/>
          </w:tcPr>
          <w:p w14:paraId="7DD9904F" w14:textId="526E2F81"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 xml:space="preserve">Water, </w:t>
            </w:r>
            <w:proofErr w:type="gramStart"/>
            <w:r w:rsidRPr="00AE7BAE">
              <w:rPr>
                <w:rFonts w:ascii="Times New Roman" w:eastAsia="Times New Roman" w:hAnsi="Times New Roman" w:cs="Times New Roman"/>
                <w:bCs/>
                <w:sz w:val="12"/>
                <w:szCs w:val="12"/>
              </w:rPr>
              <w:t>sanitation</w:t>
            </w:r>
            <w:proofErr w:type="gramEnd"/>
            <w:r w:rsidRPr="00AE7BAE">
              <w:rPr>
                <w:rFonts w:ascii="Times New Roman" w:eastAsia="Times New Roman" w:hAnsi="Times New Roman" w:cs="Times New Roman"/>
                <w:bCs/>
                <w:sz w:val="12"/>
                <w:szCs w:val="12"/>
              </w:rPr>
              <w:t xml:space="preserve"> and hygiene</w:t>
            </w:r>
          </w:p>
        </w:tc>
        <w:tc>
          <w:tcPr>
            <w:tcW w:w="0" w:type="auto"/>
            <w:shd w:val="clear" w:color="auto" w:fill="D9E2F3" w:themeFill="accent5" w:themeFillTint="33"/>
            <w:vAlign w:val="center"/>
          </w:tcPr>
          <w:p w14:paraId="1E821BD1" w14:textId="40517BCF"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Waste and contaminated sites</w:t>
            </w:r>
          </w:p>
        </w:tc>
        <w:tc>
          <w:tcPr>
            <w:tcW w:w="0" w:type="auto"/>
            <w:shd w:val="clear" w:color="auto" w:fill="D9E2F3" w:themeFill="accent5" w:themeFillTint="33"/>
            <w:vAlign w:val="center"/>
          </w:tcPr>
          <w:p w14:paraId="0071D0CF" w14:textId="04F65A09"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Transport and mobility</w:t>
            </w:r>
          </w:p>
        </w:tc>
        <w:tc>
          <w:tcPr>
            <w:tcW w:w="0" w:type="auto"/>
            <w:shd w:val="clear" w:color="auto" w:fill="D9E2F3" w:themeFill="accent5" w:themeFillTint="33"/>
            <w:vAlign w:val="center"/>
          </w:tcPr>
          <w:p w14:paraId="29644B4D" w14:textId="48F17807"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Planning of built environments</w:t>
            </w:r>
          </w:p>
        </w:tc>
        <w:tc>
          <w:tcPr>
            <w:tcW w:w="0" w:type="auto"/>
            <w:shd w:val="clear" w:color="auto" w:fill="D9E2F3" w:themeFill="accent5" w:themeFillTint="33"/>
            <w:vAlign w:val="center"/>
          </w:tcPr>
          <w:p w14:paraId="554F7B44" w14:textId="6AC01AFF"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Governance</w:t>
            </w:r>
          </w:p>
        </w:tc>
        <w:tc>
          <w:tcPr>
            <w:tcW w:w="0" w:type="auto"/>
            <w:shd w:val="clear" w:color="auto" w:fill="D9E2F3" w:themeFill="accent5" w:themeFillTint="33"/>
            <w:vAlign w:val="center"/>
          </w:tcPr>
          <w:p w14:paraId="6278CFE0" w14:textId="16AEA6F6"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Competencies</w:t>
            </w:r>
          </w:p>
        </w:tc>
        <w:tc>
          <w:tcPr>
            <w:tcW w:w="730" w:type="dxa"/>
            <w:shd w:val="clear" w:color="auto" w:fill="D9E2F3" w:themeFill="accent5" w:themeFillTint="33"/>
            <w:vAlign w:val="center"/>
          </w:tcPr>
          <w:p w14:paraId="7F2CA610" w14:textId="711AEB51" w:rsidR="005931CD" w:rsidRPr="00AE7BAE" w:rsidRDefault="005931CD" w:rsidP="005931CD">
            <w:pPr>
              <w:spacing w:before="40" w:after="40"/>
              <w:jc w:val="center"/>
              <w:rPr>
                <w:rFonts w:ascii="Times New Roman" w:eastAsia="Times New Roman" w:hAnsi="Times New Roman" w:cs="Times New Roman"/>
                <w:bCs/>
                <w:sz w:val="12"/>
                <w:szCs w:val="12"/>
              </w:rPr>
            </w:pPr>
            <w:r w:rsidRPr="00AE7BAE">
              <w:rPr>
                <w:rFonts w:ascii="Times New Roman" w:eastAsia="Times New Roman" w:hAnsi="Times New Roman" w:cs="Times New Roman"/>
                <w:bCs/>
                <w:sz w:val="12"/>
                <w:szCs w:val="12"/>
              </w:rPr>
              <w:t>Research and innovation</w:t>
            </w:r>
          </w:p>
        </w:tc>
        <w:tc>
          <w:tcPr>
            <w:tcW w:w="444" w:type="dxa"/>
            <w:vMerge/>
          </w:tcPr>
          <w:p w14:paraId="5CCF3DFB" w14:textId="6650B943" w:rsidR="003B5F0D" w:rsidRPr="00F1523C" w:rsidRDefault="003B5F0D" w:rsidP="005931CD">
            <w:pPr>
              <w:spacing w:before="40" w:after="40"/>
              <w:jc w:val="center"/>
              <w:rPr>
                <w:rFonts w:ascii="Times New Roman" w:eastAsia="Times New Roman" w:hAnsi="Times New Roman" w:cs="Times New Roman"/>
                <w:sz w:val="16"/>
                <w:szCs w:val="16"/>
              </w:rPr>
            </w:pPr>
          </w:p>
        </w:tc>
        <w:tc>
          <w:tcPr>
            <w:tcW w:w="1229" w:type="dxa"/>
            <w:vMerge/>
          </w:tcPr>
          <w:p w14:paraId="16E2F61F" w14:textId="37CD5F56" w:rsidR="005931CD" w:rsidRPr="00F1523C" w:rsidRDefault="005931CD" w:rsidP="005931CD">
            <w:pPr>
              <w:spacing w:before="40" w:after="40"/>
              <w:jc w:val="center"/>
              <w:rPr>
                <w:rFonts w:ascii="Times New Roman" w:eastAsia="Times New Roman" w:hAnsi="Times New Roman" w:cs="Times New Roman"/>
                <w:sz w:val="16"/>
                <w:szCs w:val="16"/>
              </w:rPr>
            </w:pPr>
          </w:p>
        </w:tc>
        <w:tc>
          <w:tcPr>
            <w:tcW w:w="0" w:type="auto"/>
            <w:vMerge/>
          </w:tcPr>
          <w:p w14:paraId="07A981FF" w14:textId="2A24BB7F" w:rsidR="005931CD" w:rsidRPr="00F1523C" w:rsidRDefault="005931CD" w:rsidP="005931CD">
            <w:pPr>
              <w:spacing w:before="40" w:after="40"/>
              <w:jc w:val="center"/>
              <w:rPr>
                <w:rFonts w:ascii="Times New Roman" w:eastAsia="Times New Roman" w:hAnsi="Times New Roman" w:cs="Times New Roman"/>
                <w:sz w:val="16"/>
                <w:szCs w:val="16"/>
              </w:rPr>
            </w:pPr>
          </w:p>
        </w:tc>
        <w:tc>
          <w:tcPr>
            <w:tcW w:w="1175" w:type="dxa"/>
            <w:vMerge/>
          </w:tcPr>
          <w:p w14:paraId="0CECDB62" w14:textId="38F6AF9A" w:rsidR="005931CD" w:rsidRPr="00F1523C" w:rsidRDefault="005931CD" w:rsidP="005931CD">
            <w:pPr>
              <w:spacing w:before="40" w:after="40"/>
              <w:jc w:val="center"/>
              <w:rPr>
                <w:rFonts w:ascii="Times New Roman" w:eastAsia="Times New Roman" w:hAnsi="Times New Roman" w:cs="Times New Roman"/>
                <w:sz w:val="16"/>
                <w:szCs w:val="16"/>
              </w:rPr>
            </w:pPr>
          </w:p>
        </w:tc>
        <w:tc>
          <w:tcPr>
            <w:tcW w:w="516" w:type="dxa"/>
            <w:vMerge/>
          </w:tcPr>
          <w:p w14:paraId="4765860D" w14:textId="2C0C44BE" w:rsidR="005931CD" w:rsidRPr="00F1523C" w:rsidRDefault="005931CD" w:rsidP="005931CD">
            <w:pPr>
              <w:spacing w:before="40" w:after="40"/>
              <w:jc w:val="center"/>
              <w:rPr>
                <w:rFonts w:ascii="Times New Roman" w:eastAsia="Times New Roman" w:hAnsi="Times New Roman" w:cs="Times New Roman"/>
                <w:sz w:val="16"/>
                <w:szCs w:val="16"/>
              </w:rPr>
            </w:pPr>
          </w:p>
        </w:tc>
      </w:tr>
      <w:tr w:rsidR="00AA6E5A" w:rsidRPr="00F1523C" w14:paraId="477E5F3C" w14:textId="77777777" w:rsidTr="00CF7885">
        <w:tc>
          <w:tcPr>
            <w:tcW w:w="0" w:type="auto"/>
            <w:shd w:val="clear" w:color="auto" w:fill="FFFFFF" w:themeFill="background1"/>
          </w:tcPr>
          <w:p w14:paraId="20B35DDD" w14:textId="35D5EB70" w:rsidR="005931CD" w:rsidRPr="00F1523C" w:rsidRDefault="005931CD" w:rsidP="005931CD">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Albania</w:t>
            </w:r>
          </w:p>
        </w:tc>
        <w:tc>
          <w:tcPr>
            <w:tcW w:w="0" w:type="auto"/>
            <w:shd w:val="clear" w:color="auto" w:fill="FFFF00"/>
          </w:tcPr>
          <w:p w14:paraId="1C24A5DA" w14:textId="18039C55" w:rsidR="005931CD" w:rsidRPr="00F1523C" w:rsidRDefault="00442020" w:rsidP="00A222AF">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44FB695F" w14:textId="17D62255" w:rsidR="005931CD" w:rsidRPr="00600C00" w:rsidRDefault="00312BEF" w:rsidP="00A222AF">
            <w:pPr>
              <w:spacing w:before="40" w:after="40"/>
              <w:jc w:val="center"/>
              <w:rPr>
                <w:rFonts w:ascii="Times New Roman" w:eastAsia="Times New Roman" w:hAnsi="Times New Roman" w:cs="Times New Roman"/>
                <w:sz w:val="16"/>
                <w:szCs w:val="16"/>
                <w:lang w:val="fr-CH"/>
              </w:rPr>
            </w:pPr>
            <w:r w:rsidRPr="00600C00">
              <w:rPr>
                <w:rFonts w:ascii="Times New Roman" w:eastAsia="Times New Roman" w:hAnsi="Times New Roman" w:cs="Times New Roman"/>
                <w:sz w:val="16"/>
                <w:szCs w:val="16"/>
                <w:highlight w:val="yellow"/>
                <w:lang w:val="fr-CH"/>
              </w:rPr>
              <w:t>+</w:t>
            </w:r>
            <w:r w:rsidR="00FB3B78" w:rsidRPr="00600C00">
              <w:rPr>
                <w:rFonts w:ascii="Times New Roman" w:eastAsia="Times New Roman" w:hAnsi="Times New Roman" w:cs="Times New Roman"/>
                <w:sz w:val="16"/>
                <w:szCs w:val="16"/>
                <w:lang w:val="fr-CH"/>
              </w:rPr>
              <w:t xml:space="preserve"> </w:t>
            </w:r>
            <w:r w:rsidR="00FB3B78" w:rsidRPr="00600C00">
              <w:rPr>
                <w:rFonts w:ascii="Times New Roman" w:eastAsia="Times New Roman" w:hAnsi="Times New Roman" w:cs="Times New Roman"/>
                <w:sz w:val="14"/>
                <w:szCs w:val="14"/>
                <w:lang w:val="fr-CH"/>
              </w:rPr>
              <w:t>(</w:t>
            </w:r>
            <w:proofErr w:type="spellStart"/>
            <w:r w:rsidR="00E24E70">
              <w:rPr>
                <w:rFonts w:ascii="Times New Roman" w:eastAsia="Times New Roman" w:hAnsi="Times New Roman" w:cs="Times New Roman"/>
                <w:sz w:val="14"/>
                <w:szCs w:val="14"/>
                <w:lang w:val="fr-CH"/>
              </w:rPr>
              <w:t>chemical</w:t>
            </w:r>
            <w:proofErr w:type="spellEnd"/>
            <w:r w:rsidR="00E24E70">
              <w:rPr>
                <w:rFonts w:ascii="Times New Roman" w:eastAsia="Times New Roman" w:hAnsi="Times New Roman" w:cs="Times New Roman"/>
                <w:sz w:val="14"/>
                <w:szCs w:val="14"/>
                <w:lang w:val="fr-CH"/>
              </w:rPr>
              <w:t xml:space="preserve"> </w:t>
            </w:r>
            <w:proofErr w:type="spellStart"/>
            <w:r w:rsidR="00E24E70">
              <w:rPr>
                <w:rFonts w:ascii="Times New Roman" w:eastAsia="Times New Roman" w:hAnsi="Times New Roman" w:cs="Times New Roman"/>
                <w:sz w:val="14"/>
                <w:szCs w:val="14"/>
                <w:lang w:val="fr-CH"/>
              </w:rPr>
              <w:t>safety</w:t>
            </w:r>
            <w:proofErr w:type="spellEnd"/>
            <w:r w:rsidR="000B2935" w:rsidRPr="00600C00">
              <w:rPr>
                <w:rFonts w:ascii="Times New Roman" w:eastAsia="Times New Roman" w:hAnsi="Times New Roman" w:cs="Times New Roman"/>
                <w:sz w:val="14"/>
                <w:szCs w:val="14"/>
                <w:lang w:val="fr-CH"/>
              </w:rPr>
              <w:t>)</w:t>
            </w:r>
          </w:p>
        </w:tc>
        <w:tc>
          <w:tcPr>
            <w:tcW w:w="0" w:type="auto"/>
            <w:shd w:val="clear" w:color="auto" w:fill="FFFFFF" w:themeFill="background1"/>
          </w:tcPr>
          <w:p w14:paraId="7C063ECB" w14:textId="77777777" w:rsidR="005931CD" w:rsidRPr="00600C00" w:rsidRDefault="005931CD" w:rsidP="00A222AF">
            <w:pPr>
              <w:spacing w:before="40" w:after="40"/>
              <w:jc w:val="center"/>
              <w:rPr>
                <w:rFonts w:ascii="Times New Roman" w:eastAsia="Times New Roman" w:hAnsi="Times New Roman" w:cs="Times New Roman"/>
                <w:sz w:val="16"/>
                <w:szCs w:val="16"/>
                <w:lang w:val="fr-CH"/>
              </w:rPr>
            </w:pPr>
          </w:p>
        </w:tc>
        <w:tc>
          <w:tcPr>
            <w:tcW w:w="0" w:type="auto"/>
            <w:shd w:val="clear" w:color="auto" w:fill="FFFFFF" w:themeFill="background1"/>
          </w:tcPr>
          <w:p w14:paraId="16A3F76C" w14:textId="77777777" w:rsidR="005931CD" w:rsidRPr="00600C00" w:rsidRDefault="005931CD" w:rsidP="00A222AF">
            <w:pPr>
              <w:spacing w:before="40" w:after="40"/>
              <w:jc w:val="center"/>
              <w:rPr>
                <w:rFonts w:ascii="Times New Roman" w:eastAsia="Times New Roman" w:hAnsi="Times New Roman" w:cs="Times New Roman"/>
                <w:sz w:val="16"/>
                <w:szCs w:val="16"/>
                <w:lang w:val="fr-CH"/>
              </w:rPr>
            </w:pPr>
          </w:p>
        </w:tc>
        <w:tc>
          <w:tcPr>
            <w:tcW w:w="0" w:type="auto"/>
            <w:shd w:val="clear" w:color="auto" w:fill="auto"/>
          </w:tcPr>
          <w:p w14:paraId="2B579F83" w14:textId="0236DE84" w:rsidR="005931CD" w:rsidRPr="00600C00" w:rsidRDefault="005931CD" w:rsidP="00A222AF">
            <w:pPr>
              <w:spacing w:before="40" w:after="40"/>
              <w:jc w:val="center"/>
              <w:rPr>
                <w:rFonts w:ascii="Times New Roman" w:eastAsia="Times New Roman" w:hAnsi="Times New Roman" w:cs="Times New Roman"/>
                <w:sz w:val="16"/>
                <w:szCs w:val="16"/>
                <w:lang w:val="fr-CH"/>
              </w:rPr>
            </w:pPr>
          </w:p>
        </w:tc>
        <w:tc>
          <w:tcPr>
            <w:tcW w:w="0" w:type="auto"/>
            <w:shd w:val="clear" w:color="auto" w:fill="auto"/>
          </w:tcPr>
          <w:p w14:paraId="5B8F1DAF" w14:textId="67327A49" w:rsidR="005931CD" w:rsidRPr="00F1523C" w:rsidRDefault="005931CD" w:rsidP="006A2C94">
            <w:pPr>
              <w:spacing w:before="40" w:after="40"/>
              <w:rPr>
                <w:rFonts w:ascii="Times New Roman" w:eastAsia="Times New Roman" w:hAnsi="Times New Roman" w:cs="Times New Roman"/>
                <w:sz w:val="16"/>
                <w:szCs w:val="16"/>
              </w:rPr>
            </w:pPr>
          </w:p>
        </w:tc>
        <w:tc>
          <w:tcPr>
            <w:tcW w:w="0" w:type="auto"/>
            <w:shd w:val="clear" w:color="auto" w:fill="FFFFFF" w:themeFill="background1"/>
          </w:tcPr>
          <w:p w14:paraId="1C72AC27"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B7243D5"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1C392AD"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0A58EF5"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3D88483" w14:textId="77777777" w:rsidR="003B5F0D" w:rsidRPr="00F1523C" w:rsidRDefault="003B5F0D" w:rsidP="00A222AF">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197912BE" w14:textId="01401E56"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6430505" w14:textId="1C08D250" w:rsidR="005931CD" w:rsidRPr="00F1523C" w:rsidRDefault="005931CD" w:rsidP="00A222AF">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4247B25" w14:textId="77777777" w:rsidR="005931CD" w:rsidRPr="00F1523C" w:rsidRDefault="005931CD" w:rsidP="005931CD">
            <w:pPr>
              <w:spacing w:before="40" w:after="40"/>
              <w:rPr>
                <w:rFonts w:ascii="Times New Roman" w:eastAsia="Times New Roman" w:hAnsi="Times New Roman" w:cs="Times New Roman"/>
                <w:sz w:val="16"/>
                <w:szCs w:val="16"/>
              </w:rPr>
            </w:pPr>
          </w:p>
        </w:tc>
        <w:tc>
          <w:tcPr>
            <w:tcW w:w="516" w:type="dxa"/>
            <w:shd w:val="clear" w:color="auto" w:fill="auto"/>
          </w:tcPr>
          <w:p w14:paraId="6A89E761" w14:textId="168A2DBF" w:rsidR="005931CD" w:rsidRPr="00F1523C" w:rsidRDefault="005931CD" w:rsidP="005931CD">
            <w:pPr>
              <w:spacing w:before="40" w:after="40"/>
              <w:rPr>
                <w:rFonts w:ascii="Times New Roman" w:eastAsia="Times New Roman" w:hAnsi="Times New Roman" w:cs="Times New Roman"/>
                <w:sz w:val="16"/>
                <w:szCs w:val="16"/>
              </w:rPr>
            </w:pPr>
          </w:p>
        </w:tc>
      </w:tr>
      <w:tr w:rsidR="00AA6E5A" w:rsidRPr="00F1523C" w14:paraId="368B0D6D" w14:textId="77777777" w:rsidTr="00CF7885">
        <w:tc>
          <w:tcPr>
            <w:tcW w:w="0" w:type="auto"/>
            <w:shd w:val="clear" w:color="auto" w:fill="FFFFFF" w:themeFill="background1"/>
          </w:tcPr>
          <w:p w14:paraId="56186952" w14:textId="77777777" w:rsidR="005931CD" w:rsidRPr="00F1523C" w:rsidRDefault="005931CD" w:rsidP="005931CD">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Andorra</w:t>
            </w:r>
          </w:p>
        </w:tc>
        <w:tc>
          <w:tcPr>
            <w:tcW w:w="0" w:type="auto"/>
            <w:shd w:val="clear" w:color="auto" w:fill="FFFFFF" w:themeFill="background1"/>
          </w:tcPr>
          <w:p w14:paraId="018D578B"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664206D"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A3CC086"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7B2D299"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24607C1"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3A45E97"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3CD9AC6"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5D575BB"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FF27F57"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93DD1A6"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1D47550" w14:textId="77777777" w:rsidR="003B5F0D" w:rsidRPr="00F1523C" w:rsidRDefault="003B5F0D" w:rsidP="00A222AF">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896BFE8" w14:textId="1F393C8B"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1B7888E" w14:textId="54D0C808" w:rsidR="005931CD" w:rsidRPr="00F1523C" w:rsidRDefault="005931CD" w:rsidP="00A222AF">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8FE7545" w14:textId="77777777" w:rsidR="005931CD" w:rsidRPr="00F1523C" w:rsidRDefault="005931CD" w:rsidP="005931CD">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829CC30" w14:textId="77777777" w:rsidR="005931CD" w:rsidRPr="00F1523C" w:rsidRDefault="005931CD" w:rsidP="005931CD">
            <w:pPr>
              <w:spacing w:before="40" w:after="40"/>
              <w:rPr>
                <w:rFonts w:ascii="Times New Roman" w:eastAsia="Times New Roman" w:hAnsi="Times New Roman" w:cs="Times New Roman"/>
                <w:sz w:val="16"/>
                <w:szCs w:val="16"/>
              </w:rPr>
            </w:pPr>
          </w:p>
        </w:tc>
      </w:tr>
      <w:tr w:rsidR="00AA6E5A" w:rsidRPr="00F1523C" w14:paraId="75CB3922" w14:textId="77777777" w:rsidTr="00CF7885">
        <w:tc>
          <w:tcPr>
            <w:tcW w:w="0" w:type="auto"/>
            <w:shd w:val="clear" w:color="auto" w:fill="FFFFFF" w:themeFill="background1"/>
          </w:tcPr>
          <w:p w14:paraId="0F8EED16" w14:textId="69DE7C02" w:rsidR="005931CD" w:rsidRPr="00F1523C" w:rsidRDefault="005931CD" w:rsidP="005931CD">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Armenia</w:t>
            </w:r>
          </w:p>
        </w:tc>
        <w:tc>
          <w:tcPr>
            <w:tcW w:w="0" w:type="auto"/>
            <w:shd w:val="clear" w:color="auto" w:fill="FFFF00"/>
          </w:tcPr>
          <w:p w14:paraId="792A1A57" w14:textId="1CEC6B42" w:rsidR="005931CD" w:rsidRPr="00F1523C" w:rsidRDefault="004318FE" w:rsidP="00A222AF">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F416208"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A5AB26F"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47C2AE2"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A8602C9"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2594F7"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6D08733"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DB2BD4"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69FD4C5"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B2C8392" w14:textId="77777777" w:rsidR="005931CD" w:rsidRPr="00F1523C" w:rsidRDefault="005931CD" w:rsidP="00A222AF">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43F5B4F3" w14:textId="77777777" w:rsidR="003B5F0D" w:rsidRPr="00F1523C" w:rsidRDefault="003B5F0D" w:rsidP="00A222AF">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7C161B8B" w14:textId="0ED2B1A5" w:rsidR="005931CD" w:rsidRPr="00F1523C" w:rsidRDefault="005931CD" w:rsidP="00A222A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8DF5D3B" w14:textId="7A4D21C9" w:rsidR="005931CD" w:rsidRPr="00F1523C" w:rsidRDefault="005931CD" w:rsidP="00A222AF">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C0898FF" w14:textId="3D0B493A" w:rsidR="005931CD" w:rsidRPr="00F1523C" w:rsidRDefault="005931CD" w:rsidP="005931CD">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9C8C21B" w14:textId="77777777" w:rsidR="005931CD" w:rsidRPr="00F1523C" w:rsidRDefault="005931CD" w:rsidP="005931CD">
            <w:pPr>
              <w:spacing w:before="40" w:after="40"/>
              <w:rPr>
                <w:rFonts w:ascii="Times New Roman" w:eastAsia="Times New Roman" w:hAnsi="Times New Roman" w:cs="Times New Roman"/>
                <w:sz w:val="16"/>
                <w:szCs w:val="16"/>
              </w:rPr>
            </w:pPr>
          </w:p>
        </w:tc>
      </w:tr>
      <w:tr w:rsidR="00415DF0" w:rsidRPr="00F1523C" w14:paraId="174351E7" w14:textId="77777777" w:rsidTr="00CF7885">
        <w:tc>
          <w:tcPr>
            <w:tcW w:w="0" w:type="auto"/>
            <w:shd w:val="clear" w:color="auto" w:fill="FFFFFF" w:themeFill="background1"/>
          </w:tcPr>
          <w:p w14:paraId="6CDB0238" w14:textId="4FA32761"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Azerbaijan</w:t>
            </w:r>
          </w:p>
        </w:tc>
        <w:tc>
          <w:tcPr>
            <w:tcW w:w="0" w:type="auto"/>
            <w:shd w:val="clear" w:color="auto" w:fill="FFFF00"/>
          </w:tcPr>
          <w:p w14:paraId="28F107FF" w14:textId="412A9ABE" w:rsidR="007B150B" w:rsidRPr="00442020" w:rsidRDefault="007B150B" w:rsidP="007B150B">
            <w:pPr>
              <w:spacing w:before="40" w:after="40"/>
              <w:jc w:val="center"/>
              <w:rPr>
                <w:rFonts w:ascii="Times New Roman" w:eastAsia="Times New Roman" w:hAnsi="Times New Roman" w:cs="Times New Roman"/>
                <w:sz w:val="16"/>
                <w:szCs w:val="16"/>
                <w:highlight w:val="yellow"/>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p>
        </w:tc>
        <w:tc>
          <w:tcPr>
            <w:tcW w:w="0" w:type="auto"/>
            <w:shd w:val="clear" w:color="auto" w:fill="FFFF00"/>
          </w:tcPr>
          <w:p w14:paraId="41CC799C" w14:textId="1A7F3116" w:rsidR="007B150B" w:rsidRPr="00F1523C" w:rsidRDefault="007B150B" w:rsidP="007B150B">
            <w:pPr>
              <w:spacing w:before="40" w:after="40"/>
              <w:jc w:val="center"/>
              <w:rPr>
                <w:rFonts w:ascii="Times New Roman" w:eastAsia="Times New Roman" w:hAnsi="Times New Roman" w:cs="Times New Roman"/>
                <w:sz w:val="16"/>
                <w:szCs w:val="16"/>
              </w:rPr>
            </w:pPr>
            <w:r w:rsidRPr="00600C00">
              <w:rPr>
                <w:rFonts w:ascii="Times New Roman" w:eastAsia="Times New Roman" w:hAnsi="Times New Roman" w:cs="Times New Roman"/>
                <w:sz w:val="16"/>
                <w:szCs w:val="16"/>
                <w:highlight w:val="yellow"/>
                <w:lang w:val="fr-CH"/>
              </w:rPr>
              <w:t>+</w:t>
            </w:r>
            <w:r w:rsidRPr="00600C00">
              <w:rPr>
                <w:rFonts w:ascii="Times New Roman" w:eastAsia="Times New Roman" w:hAnsi="Times New Roman" w:cs="Times New Roman"/>
                <w:sz w:val="16"/>
                <w:szCs w:val="16"/>
                <w:lang w:val="fr-CH"/>
              </w:rPr>
              <w:t xml:space="preserve"> </w:t>
            </w:r>
            <w:r w:rsidRPr="00600C00">
              <w:rPr>
                <w:rFonts w:ascii="Times New Roman" w:eastAsia="Times New Roman" w:hAnsi="Times New Roman" w:cs="Times New Roman"/>
                <w:sz w:val="14"/>
                <w:szCs w:val="14"/>
                <w:lang w:val="fr-CH"/>
              </w:rPr>
              <w:t>(</w:t>
            </w:r>
            <w:proofErr w:type="spellStart"/>
            <w:r>
              <w:rPr>
                <w:rFonts w:ascii="Times New Roman" w:eastAsia="Times New Roman" w:hAnsi="Times New Roman" w:cs="Times New Roman"/>
                <w:sz w:val="14"/>
                <w:szCs w:val="14"/>
                <w:lang w:val="fr-CH"/>
              </w:rPr>
              <w:t>chemical</w:t>
            </w:r>
            <w:proofErr w:type="spellEnd"/>
            <w:r>
              <w:rPr>
                <w:rFonts w:ascii="Times New Roman" w:eastAsia="Times New Roman" w:hAnsi="Times New Roman" w:cs="Times New Roman"/>
                <w:sz w:val="14"/>
                <w:szCs w:val="14"/>
                <w:lang w:val="fr-CH"/>
              </w:rPr>
              <w:t xml:space="preserve"> </w:t>
            </w:r>
            <w:proofErr w:type="spellStart"/>
            <w:r>
              <w:rPr>
                <w:rFonts w:ascii="Times New Roman" w:eastAsia="Times New Roman" w:hAnsi="Times New Roman" w:cs="Times New Roman"/>
                <w:sz w:val="14"/>
                <w:szCs w:val="14"/>
                <w:lang w:val="fr-CH"/>
              </w:rPr>
              <w:t>safety</w:t>
            </w:r>
            <w:proofErr w:type="spellEnd"/>
            <w:r w:rsidRPr="00600C00">
              <w:rPr>
                <w:rFonts w:ascii="Times New Roman" w:eastAsia="Times New Roman" w:hAnsi="Times New Roman" w:cs="Times New Roman"/>
                <w:sz w:val="14"/>
                <w:szCs w:val="14"/>
                <w:lang w:val="fr-CH"/>
              </w:rPr>
              <w:t>)</w:t>
            </w:r>
          </w:p>
        </w:tc>
        <w:tc>
          <w:tcPr>
            <w:tcW w:w="0" w:type="auto"/>
            <w:shd w:val="clear" w:color="auto" w:fill="FFFFFF" w:themeFill="background1"/>
          </w:tcPr>
          <w:p w14:paraId="5C622372"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F6BB1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373F956"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3311084"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C535B3D"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4E01159"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306432C"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24BBF88"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00"/>
          </w:tcPr>
          <w:p w14:paraId="6EFFA85C" w14:textId="1C8AC61A" w:rsidR="007B150B" w:rsidRPr="00F1523C" w:rsidRDefault="007B150B" w:rsidP="007B150B">
            <w:pPr>
              <w:spacing w:before="40" w:after="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yellow"/>
              </w:rPr>
              <w:t>+</w:t>
            </w:r>
          </w:p>
        </w:tc>
        <w:tc>
          <w:tcPr>
            <w:tcW w:w="1229" w:type="dxa"/>
            <w:shd w:val="clear" w:color="auto" w:fill="FFFF00"/>
          </w:tcPr>
          <w:p w14:paraId="60EAB719" w14:textId="12DE9443"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77F26A8"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53FAB613" w14:textId="77777777"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427D5D6" w14:textId="77777777" w:rsidR="007B150B" w:rsidRPr="00F1523C" w:rsidRDefault="007B150B" w:rsidP="007B150B">
            <w:pPr>
              <w:spacing w:before="40" w:after="40"/>
              <w:rPr>
                <w:rFonts w:ascii="Times New Roman" w:eastAsia="Times New Roman" w:hAnsi="Times New Roman" w:cs="Times New Roman"/>
                <w:sz w:val="16"/>
                <w:szCs w:val="16"/>
              </w:rPr>
            </w:pPr>
          </w:p>
        </w:tc>
      </w:tr>
      <w:tr w:rsidR="00BF2221" w:rsidRPr="00F1523C" w14:paraId="7A3AE8FD" w14:textId="77777777" w:rsidTr="00CF7885">
        <w:tc>
          <w:tcPr>
            <w:tcW w:w="0" w:type="auto"/>
            <w:shd w:val="clear" w:color="auto" w:fill="FFFFFF" w:themeFill="background1"/>
          </w:tcPr>
          <w:p w14:paraId="555F5DE2" w14:textId="77777777"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Austria</w:t>
            </w:r>
          </w:p>
        </w:tc>
        <w:tc>
          <w:tcPr>
            <w:tcW w:w="0" w:type="auto"/>
            <w:shd w:val="clear" w:color="auto" w:fill="FFFF00"/>
          </w:tcPr>
          <w:p w14:paraId="46A18AFB" w14:textId="37584D6C"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3E5D9DE5" w14:textId="3C92DD8C"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287F2472"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0A6037B"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BE045E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15E65595" w14:textId="4A1F8FC8"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406E047A"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314349A"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7DA7C5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7B262AD"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5294C28D" w14:textId="77777777" w:rsidR="007B150B" w:rsidRPr="00442020" w:rsidRDefault="007B150B" w:rsidP="007B150B">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0896A015" w14:textId="32A72DCC"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7AEA3DF" w14:textId="3684329E"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1D17CE6" w14:textId="77777777"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2E159B2" w14:textId="77777777" w:rsidR="007B150B" w:rsidRPr="00F1523C" w:rsidRDefault="007B150B" w:rsidP="007B150B">
            <w:pPr>
              <w:spacing w:before="40" w:after="40"/>
              <w:rPr>
                <w:rFonts w:ascii="Times New Roman" w:eastAsia="Times New Roman" w:hAnsi="Times New Roman" w:cs="Times New Roman"/>
                <w:sz w:val="16"/>
                <w:szCs w:val="16"/>
              </w:rPr>
            </w:pPr>
          </w:p>
        </w:tc>
      </w:tr>
      <w:tr w:rsidR="00BF2221" w:rsidRPr="00F1523C" w14:paraId="2526A6CC" w14:textId="77777777" w:rsidTr="00CF7885">
        <w:trPr>
          <w:trHeight w:val="50"/>
        </w:trPr>
        <w:tc>
          <w:tcPr>
            <w:tcW w:w="0" w:type="auto"/>
            <w:shd w:val="clear" w:color="auto" w:fill="FFFFFF" w:themeFill="background1"/>
          </w:tcPr>
          <w:p w14:paraId="41091E42" w14:textId="7823B0BB"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Belarus</w:t>
            </w:r>
          </w:p>
        </w:tc>
        <w:tc>
          <w:tcPr>
            <w:tcW w:w="0" w:type="auto"/>
            <w:shd w:val="clear" w:color="auto" w:fill="FFFFFF" w:themeFill="background1"/>
          </w:tcPr>
          <w:p w14:paraId="15DA96A2" w14:textId="46ADA860"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7DD1715B" w14:textId="05570B76"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66F6AC36"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20399313" w14:textId="6F2028AA"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BCBF241"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A1983DA"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FE40CAC"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C92EA1C"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235B4E0"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FA64FB0"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2CBF246"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1D8605CF" w14:textId="7BB1E5DB"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AC71173" w14:textId="15880073"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1F5696D" w14:textId="2C7B8906"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16F08B8F" w14:textId="77777777" w:rsidR="007B150B" w:rsidRPr="00F1523C" w:rsidRDefault="007B150B" w:rsidP="007B150B">
            <w:pPr>
              <w:spacing w:before="40" w:after="40"/>
              <w:rPr>
                <w:rFonts w:ascii="Times New Roman" w:eastAsia="Times New Roman" w:hAnsi="Times New Roman" w:cs="Times New Roman"/>
                <w:sz w:val="16"/>
                <w:szCs w:val="16"/>
              </w:rPr>
            </w:pPr>
          </w:p>
        </w:tc>
      </w:tr>
      <w:tr w:rsidR="00BF2221" w:rsidRPr="00F1523C" w14:paraId="623F2D8F" w14:textId="77777777" w:rsidTr="00CF7885">
        <w:tc>
          <w:tcPr>
            <w:tcW w:w="0" w:type="auto"/>
            <w:shd w:val="clear" w:color="auto" w:fill="FFFFFF" w:themeFill="background1"/>
          </w:tcPr>
          <w:p w14:paraId="56D99C47" w14:textId="77777777"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Belgium</w:t>
            </w:r>
          </w:p>
        </w:tc>
        <w:tc>
          <w:tcPr>
            <w:tcW w:w="0" w:type="auto"/>
            <w:shd w:val="clear" w:color="auto" w:fill="FFFF00"/>
          </w:tcPr>
          <w:p w14:paraId="754D2429" w14:textId="4F023C85"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2B7126F7" w14:textId="458ACB6E"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2EF0A521"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0FB9CD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BC79E9"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C9DB403"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90FC528"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02308CE"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C8926A9"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5B323DB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F38A9D0" w14:textId="77777777" w:rsidR="007B150B" w:rsidRPr="00442020" w:rsidRDefault="007B150B" w:rsidP="007B150B">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54E9E4FF" w14:textId="79BEFE8F"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D0B894A" w14:textId="39999B5C"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E9EBC2A" w14:textId="77777777"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AA68B69" w14:textId="77777777" w:rsidR="007B150B" w:rsidRPr="00F1523C" w:rsidRDefault="007B150B" w:rsidP="007B150B">
            <w:pPr>
              <w:spacing w:before="40" w:after="40"/>
              <w:rPr>
                <w:rFonts w:ascii="Times New Roman" w:eastAsia="Times New Roman" w:hAnsi="Times New Roman" w:cs="Times New Roman"/>
                <w:sz w:val="16"/>
                <w:szCs w:val="16"/>
              </w:rPr>
            </w:pPr>
          </w:p>
        </w:tc>
      </w:tr>
      <w:tr w:rsidR="00BF2221" w:rsidRPr="00F1523C" w14:paraId="1D8EDC76" w14:textId="77777777" w:rsidTr="00CF7885">
        <w:tc>
          <w:tcPr>
            <w:tcW w:w="0" w:type="auto"/>
            <w:shd w:val="clear" w:color="auto" w:fill="FFFFFF" w:themeFill="background1"/>
          </w:tcPr>
          <w:p w14:paraId="2CC3AEE0" w14:textId="77777777"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Bosnia and Herzegovina</w:t>
            </w:r>
          </w:p>
        </w:tc>
        <w:tc>
          <w:tcPr>
            <w:tcW w:w="0" w:type="auto"/>
            <w:shd w:val="clear" w:color="auto" w:fill="FFFFFF" w:themeFill="background1"/>
          </w:tcPr>
          <w:p w14:paraId="6A189EBD"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4D8EB0EB" w14:textId="32B97784"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762615AA"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2E1A02FC" w14:textId="0120715B"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6F14A80"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1C3D8E1"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1641B69"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3555179"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7338963"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01944DA"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F134AD2"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9AD03D6" w14:textId="064F6646"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87C65A8" w14:textId="2C02FCE7"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754C80F" w14:textId="77777777"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3ABB6C0" w14:textId="77777777" w:rsidR="007B150B" w:rsidRPr="00F1523C" w:rsidRDefault="007B150B" w:rsidP="007B150B">
            <w:pPr>
              <w:spacing w:before="40" w:after="40"/>
              <w:rPr>
                <w:rFonts w:ascii="Times New Roman" w:eastAsia="Times New Roman" w:hAnsi="Times New Roman" w:cs="Times New Roman"/>
                <w:sz w:val="16"/>
                <w:szCs w:val="16"/>
              </w:rPr>
            </w:pPr>
          </w:p>
        </w:tc>
      </w:tr>
      <w:tr w:rsidR="00BF2221" w:rsidRPr="00F1523C" w14:paraId="6755B519" w14:textId="77777777" w:rsidTr="00CF7885">
        <w:tc>
          <w:tcPr>
            <w:tcW w:w="0" w:type="auto"/>
            <w:shd w:val="clear" w:color="auto" w:fill="FFFFFF" w:themeFill="background1"/>
          </w:tcPr>
          <w:p w14:paraId="0CAC6653" w14:textId="77777777" w:rsidR="007B150B" w:rsidRPr="00F1523C" w:rsidRDefault="007B150B" w:rsidP="007B150B">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Bulgaria</w:t>
            </w:r>
          </w:p>
        </w:tc>
        <w:tc>
          <w:tcPr>
            <w:tcW w:w="0" w:type="auto"/>
            <w:shd w:val="clear" w:color="auto" w:fill="FFFFFF" w:themeFill="background1"/>
          </w:tcPr>
          <w:p w14:paraId="4CDE2E41" w14:textId="4C60A6B6" w:rsidR="007B150B" w:rsidRPr="00E241D7" w:rsidRDefault="007B150B" w:rsidP="007B150B">
            <w:pPr>
              <w:spacing w:before="40" w:after="40"/>
              <w:jc w:val="center"/>
              <w:rPr>
                <w:rFonts w:ascii="Times New Roman" w:eastAsia="Times New Roman" w:hAnsi="Times New Roman" w:cs="Times New Roman"/>
                <w:sz w:val="14"/>
                <w:szCs w:val="14"/>
              </w:rPr>
            </w:pPr>
          </w:p>
        </w:tc>
        <w:tc>
          <w:tcPr>
            <w:tcW w:w="0" w:type="auto"/>
            <w:shd w:val="clear" w:color="auto" w:fill="FFFF00"/>
          </w:tcPr>
          <w:p w14:paraId="02A164FC" w14:textId="0F11F02D" w:rsidR="007B150B" w:rsidRPr="00E241D7" w:rsidRDefault="007B150B" w:rsidP="007B150B">
            <w:pPr>
              <w:spacing w:before="40" w:after="40"/>
              <w:jc w:val="center"/>
              <w:rPr>
                <w:rFonts w:ascii="Times New Roman" w:eastAsia="Times New Roman" w:hAnsi="Times New Roman" w:cs="Times New Roman"/>
                <w:sz w:val="14"/>
                <w:szCs w:val="14"/>
              </w:rPr>
            </w:pPr>
            <w:r w:rsidRPr="00E241D7">
              <w:rPr>
                <w:rFonts w:ascii="Times New Roman" w:eastAsia="Times New Roman" w:hAnsi="Times New Roman" w:cs="Times New Roman"/>
                <w:sz w:val="14"/>
                <w:szCs w:val="14"/>
                <w:highlight w:val="yellow"/>
              </w:rPr>
              <w:t>+</w:t>
            </w:r>
            <w:r w:rsidRPr="00E241D7">
              <w:rPr>
                <w:rFonts w:ascii="Times New Roman" w:eastAsia="Times New Roman" w:hAnsi="Times New Roman" w:cs="Times New Roman"/>
                <w:sz w:val="14"/>
                <w:szCs w:val="14"/>
              </w:rPr>
              <w:t xml:space="preserve"> (air quality)</w:t>
            </w:r>
          </w:p>
        </w:tc>
        <w:tc>
          <w:tcPr>
            <w:tcW w:w="0" w:type="auto"/>
            <w:shd w:val="clear" w:color="auto" w:fill="FFFFFF" w:themeFill="background1"/>
          </w:tcPr>
          <w:p w14:paraId="04ABC43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00"/>
          </w:tcPr>
          <w:p w14:paraId="4C92E29F" w14:textId="539484C1" w:rsidR="007B150B" w:rsidRPr="00F1523C" w:rsidRDefault="007B150B" w:rsidP="007B150B">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A0CD587"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9687C8E"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87F0543"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C6BFE41"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D92F4B2"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51EA30C1"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399FE425" w14:textId="77777777" w:rsidR="007B150B" w:rsidRPr="00F1523C" w:rsidRDefault="007B150B" w:rsidP="007B150B">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30772416" w14:textId="28A413FF" w:rsidR="007B150B" w:rsidRPr="00F1523C" w:rsidRDefault="007B150B" w:rsidP="007B150B">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BF9C597" w14:textId="4D78DB05" w:rsidR="007B150B" w:rsidRPr="00F1523C" w:rsidRDefault="007B150B" w:rsidP="007B150B">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581DFB0F" w14:textId="4F06A123" w:rsidR="007B150B" w:rsidRPr="00F1523C" w:rsidRDefault="007B150B" w:rsidP="007B150B">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76EF910" w14:textId="77777777" w:rsidR="007B150B" w:rsidRPr="00F1523C" w:rsidRDefault="007B150B" w:rsidP="007B150B">
            <w:pPr>
              <w:spacing w:before="40" w:after="40"/>
              <w:rPr>
                <w:rFonts w:ascii="Times New Roman" w:eastAsia="Times New Roman" w:hAnsi="Times New Roman" w:cs="Times New Roman"/>
                <w:sz w:val="16"/>
                <w:szCs w:val="16"/>
              </w:rPr>
            </w:pPr>
          </w:p>
        </w:tc>
      </w:tr>
      <w:tr w:rsidR="00CF7885" w:rsidRPr="00F1523C" w14:paraId="233902E9" w14:textId="77777777" w:rsidTr="00CF7885">
        <w:tc>
          <w:tcPr>
            <w:tcW w:w="0" w:type="auto"/>
            <w:shd w:val="clear" w:color="auto" w:fill="FFFFFF" w:themeFill="background1"/>
          </w:tcPr>
          <w:p w14:paraId="0EA8B3B2" w14:textId="14DFA839"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Croatia</w:t>
            </w:r>
          </w:p>
        </w:tc>
        <w:tc>
          <w:tcPr>
            <w:tcW w:w="0" w:type="auto"/>
            <w:shd w:val="clear" w:color="auto" w:fill="FFFF00"/>
          </w:tcPr>
          <w:p w14:paraId="79026005" w14:textId="63454F06"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6B2A8E09" w14:textId="77777777" w:rsidR="00694B9A" w:rsidRPr="00442020" w:rsidRDefault="00694B9A" w:rsidP="00694B9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5A97D09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0D2A7BFD" w14:textId="74F57B7C" w:rsidR="00694B9A" w:rsidRPr="00442020" w:rsidRDefault="00694B9A" w:rsidP="00694B9A">
            <w:pPr>
              <w:spacing w:before="40" w:after="40"/>
              <w:jc w:val="center"/>
              <w:rPr>
                <w:rFonts w:ascii="Times New Roman" w:eastAsia="Times New Roman" w:hAnsi="Times New Roman" w:cs="Times New Roman"/>
                <w:sz w:val="16"/>
                <w:szCs w:val="16"/>
                <w:highlight w:val="yellow"/>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1E35CCC"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A6BC750"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13CA33AA" w14:textId="088F29E1"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4F2CADF0"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019BE5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6A79D2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00"/>
          </w:tcPr>
          <w:p w14:paraId="17454FBE" w14:textId="77464A84"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1229" w:type="dxa"/>
            <w:shd w:val="clear" w:color="auto" w:fill="FFFF00"/>
          </w:tcPr>
          <w:p w14:paraId="5910FA79" w14:textId="5EA5A97B"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B65D49C"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C9A7104"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1BEE622C"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186861E7" w14:textId="77777777" w:rsidTr="00CF7885">
        <w:tc>
          <w:tcPr>
            <w:tcW w:w="0" w:type="auto"/>
            <w:shd w:val="clear" w:color="auto" w:fill="FFFFFF" w:themeFill="background1"/>
          </w:tcPr>
          <w:p w14:paraId="076FB895" w14:textId="5EA2B0C9"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Cyprus</w:t>
            </w:r>
          </w:p>
        </w:tc>
        <w:tc>
          <w:tcPr>
            <w:tcW w:w="0" w:type="auto"/>
            <w:shd w:val="clear" w:color="auto" w:fill="FFFFFF" w:themeFill="background1"/>
          </w:tcPr>
          <w:p w14:paraId="6408E140"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3B64C23"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393A62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25A961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83CBB5C"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CEC8B7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9AE51C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FA432D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9B9AAB4"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31A647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663EC04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37A4C659" w14:textId="12A1DA42"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F84366D" w14:textId="798D2A82"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E28EC74"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463272BC"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13A2B39D" w14:textId="77777777" w:rsidTr="00CF7885">
        <w:tc>
          <w:tcPr>
            <w:tcW w:w="0" w:type="auto"/>
            <w:shd w:val="clear" w:color="auto" w:fill="FFFFFF" w:themeFill="background1"/>
          </w:tcPr>
          <w:p w14:paraId="778098F5"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Czechia</w:t>
            </w:r>
          </w:p>
        </w:tc>
        <w:tc>
          <w:tcPr>
            <w:tcW w:w="0" w:type="auto"/>
            <w:shd w:val="clear" w:color="auto" w:fill="FFFF00"/>
          </w:tcPr>
          <w:p w14:paraId="1B78D822" w14:textId="1143D250"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06083DD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38F80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5903B1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9371E85"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29AAD4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2F587C1"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F5D567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8877F64"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D87D225"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C7DCF88"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3DA76F8" w14:textId="4B079221"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065DB98" w14:textId="475A0765"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4EA61FF3"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403D884C"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546779F0" w14:textId="77777777" w:rsidTr="00CF7885">
        <w:tc>
          <w:tcPr>
            <w:tcW w:w="0" w:type="auto"/>
            <w:shd w:val="clear" w:color="auto" w:fill="FFFFFF" w:themeFill="background1"/>
          </w:tcPr>
          <w:p w14:paraId="63D14601"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Denmark</w:t>
            </w:r>
          </w:p>
        </w:tc>
        <w:tc>
          <w:tcPr>
            <w:tcW w:w="0" w:type="auto"/>
            <w:shd w:val="clear" w:color="auto" w:fill="FFFFFF" w:themeFill="background1"/>
          </w:tcPr>
          <w:p w14:paraId="6E778880"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ABC852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D4DA76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71BD9BC"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7CC76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7FBA16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B6BA91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3B387C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DC42A3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9C3B044"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85E611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2626F4D2" w14:textId="2C677774"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C4375F4" w14:textId="4F12FAA9"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311094C"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6C8E78A"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713ABD93" w14:textId="77777777" w:rsidTr="00CF7885">
        <w:tc>
          <w:tcPr>
            <w:tcW w:w="0" w:type="auto"/>
            <w:shd w:val="clear" w:color="auto" w:fill="FFFFFF" w:themeFill="background1"/>
          </w:tcPr>
          <w:p w14:paraId="20BDE01B"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Estonia</w:t>
            </w:r>
          </w:p>
        </w:tc>
        <w:tc>
          <w:tcPr>
            <w:tcW w:w="0" w:type="auto"/>
            <w:shd w:val="clear" w:color="auto" w:fill="FFFFFF" w:themeFill="background1"/>
          </w:tcPr>
          <w:p w14:paraId="2F4B1F3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FF92551" w14:textId="0DFB3122"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419984D"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24F48FD3" w14:textId="50613C55"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53E60ED"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51944A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456CA638" w14:textId="1CEE9807"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04B01251"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0821C32D" w14:textId="5B6B986F"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730" w:type="dxa"/>
            <w:shd w:val="clear" w:color="auto" w:fill="FFFFFF" w:themeFill="background1"/>
          </w:tcPr>
          <w:p w14:paraId="138B616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5CBFA6BD"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4E6AC02E" w14:textId="2ECF2B5F"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4319878" w14:textId="3F8AE472"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2DB3238A"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D25765E" w14:textId="2834D5CF"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470E3757" w14:textId="77777777" w:rsidTr="00CF7885">
        <w:tc>
          <w:tcPr>
            <w:tcW w:w="0" w:type="auto"/>
            <w:shd w:val="clear" w:color="auto" w:fill="FFFFFF" w:themeFill="background1"/>
          </w:tcPr>
          <w:p w14:paraId="7587B0E7"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Finland</w:t>
            </w:r>
          </w:p>
        </w:tc>
        <w:tc>
          <w:tcPr>
            <w:tcW w:w="0" w:type="auto"/>
            <w:shd w:val="clear" w:color="auto" w:fill="FFFFFF" w:themeFill="background1"/>
          </w:tcPr>
          <w:p w14:paraId="719A7B8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E822D15"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308514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122D1A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FD2E5BD"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8C46238"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0F8E10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ACF431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0DD53E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B7D9BB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368A863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306E265" w14:textId="19A6FED2"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6DD857C" w14:textId="705B8B96"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2B56CBE0"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ED9DD5E"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519023F6" w14:textId="77777777" w:rsidTr="00CF7885">
        <w:tc>
          <w:tcPr>
            <w:tcW w:w="0" w:type="auto"/>
            <w:shd w:val="clear" w:color="auto" w:fill="FFFFFF" w:themeFill="background1"/>
          </w:tcPr>
          <w:p w14:paraId="076DD66E"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France</w:t>
            </w:r>
          </w:p>
        </w:tc>
        <w:tc>
          <w:tcPr>
            <w:tcW w:w="0" w:type="auto"/>
            <w:shd w:val="clear" w:color="auto" w:fill="FFFF00"/>
          </w:tcPr>
          <w:p w14:paraId="1BC7FAED" w14:textId="46E5E0F1"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61F21C14" w14:textId="19330AF2"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202C1E22"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78CC34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E2CA58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21D810DB" w14:textId="02B40404"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90B53F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2EF295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C8C269D"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2EB9BA1"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672C7730" w14:textId="77777777" w:rsidR="00694B9A" w:rsidRPr="00442020" w:rsidRDefault="00694B9A" w:rsidP="00694B9A">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2AEA5FA4" w14:textId="08B01BF0"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42A1CDC1" w14:textId="3A27FB8F"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545F2B78"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ED2A1A5"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03665021" w14:textId="77777777" w:rsidTr="00CF7885">
        <w:tc>
          <w:tcPr>
            <w:tcW w:w="0" w:type="auto"/>
            <w:shd w:val="clear" w:color="auto" w:fill="FFFFFF" w:themeFill="background1"/>
          </w:tcPr>
          <w:p w14:paraId="21C07939"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Georgia</w:t>
            </w:r>
          </w:p>
        </w:tc>
        <w:tc>
          <w:tcPr>
            <w:tcW w:w="0" w:type="auto"/>
            <w:shd w:val="clear" w:color="auto" w:fill="FFFF00"/>
          </w:tcPr>
          <w:p w14:paraId="6FF745EA" w14:textId="6EF13794"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7C420369" w14:textId="4B248684"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(air quality</w:t>
            </w:r>
            <w:r>
              <w:rPr>
                <w:rFonts w:ascii="Times New Roman" w:eastAsia="Times New Roman" w:hAnsi="Times New Roman" w:cs="Times New Roman"/>
                <w:sz w:val="14"/>
                <w:szCs w:val="14"/>
              </w:rPr>
              <w:t>, chemical safety)</w:t>
            </w:r>
          </w:p>
        </w:tc>
        <w:tc>
          <w:tcPr>
            <w:tcW w:w="0" w:type="auto"/>
            <w:shd w:val="clear" w:color="auto" w:fill="FFFFFF" w:themeFill="background1"/>
          </w:tcPr>
          <w:p w14:paraId="0B89D872" w14:textId="7075F22C"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42414649" w14:textId="5F94E392"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D323330" w14:textId="1608F399"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9E29C04"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5882EA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5FB2831"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CAE372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3BA0817"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601B454F" w14:textId="77777777" w:rsidR="00694B9A" w:rsidRPr="00442020" w:rsidDel="004F68A6" w:rsidRDefault="00694B9A" w:rsidP="00694B9A">
            <w:pPr>
              <w:spacing w:before="40" w:after="40"/>
              <w:jc w:val="center"/>
              <w:rPr>
                <w:rFonts w:ascii="Times New Roman" w:eastAsia="Times New Roman" w:hAnsi="Times New Roman" w:cs="Times New Roman"/>
                <w:sz w:val="16"/>
                <w:szCs w:val="16"/>
                <w:highlight w:val="yellow"/>
              </w:rPr>
            </w:pPr>
          </w:p>
        </w:tc>
        <w:tc>
          <w:tcPr>
            <w:tcW w:w="1229" w:type="dxa"/>
            <w:shd w:val="clear" w:color="auto" w:fill="auto"/>
          </w:tcPr>
          <w:p w14:paraId="1CC99B8F" w14:textId="53494A3F"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00"/>
          </w:tcPr>
          <w:p w14:paraId="44729768" w14:textId="29FAFDC4"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1175" w:type="dxa"/>
            <w:shd w:val="clear" w:color="auto" w:fill="FFFFFF" w:themeFill="background1"/>
          </w:tcPr>
          <w:p w14:paraId="7B274958"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D3C7521" w14:textId="78988B0A"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290CAC76" w14:textId="77777777" w:rsidTr="00CF7885">
        <w:tc>
          <w:tcPr>
            <w:tcW w:w="0" w:type="auto"/>
            <w:shd w:val="clear" w:color="auto" w:fill="FFFFFF" w:themeFill="background1"/>
          </w:tcPr>
          <w:p w14:paraId="071CAD00" w14:textId="77777777"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Germany</w:t>
            </w:r>
          </w:p>
        </w:tc>
        <w:tc>
          <w:tcPr>
            <w:tcW w:w="0" w:type="auto"/>
            <w:shd w:val="clear" w:color="auto" w:fill="FFFF00"/>
          </w:tcPr>
          <w:p w14:paraId="72259683" w14:textId="56BF4820"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70C24A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7E75804"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1284528"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0F1CFB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7BB9F6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3DF74D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5DDACD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4013B1A"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4692011"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C63B96B" w14:textId="77777777" w:rsidR="00694B9A" w:rsidRPr="00442020" w:rsidRDefault="00694B9A" w:rsidP="00694B9A">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222DA8B7" w14:textId="48A927AB" w:rsidR="00694B9A" w:rsidRPr="00F1523C" w:rsidRDefault="00694B9A" w:rsidP="00694B9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E92DD2F" w14:textId="7D618B65"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433C3601"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E48C725" w14:textId="77777777" w:rsidR="00694B9A" w:rsidRPr="00F1523C" w:rsidRDefault="00694B9A" w:rsidP="00694B9A">
            <w:pPr>
              <w:spacing w:before="40" w:after="40"/>
              <w:rPr>
                <w:rFonts w:ascii="Times New Roman" w:eastAsia="Times New Roman" w:hAnsi="Times New Roman" w:cs="Times New Roman"/>
                <w:sz w:val="16"/>
                <w:szCs w:val="16"/>
              </w:rPr>
            </w:pPr>
          </w:p>
        </w:tc>
      </w:tr>
      <w:tr w:rsidR="00BF2221" w:rsidRPr="00F1523C" w14:paraId="6FE13DF9" w14:textId="77777777" w:rsidTr="00CF7885">
        <w:tc>
          <w:tcPr>
            <w:tcW w:w="0" w:type="auto"/>
            <w:shd w:val="clear" w:color="auto" w:fill="FFFFFF" w:themeFill="background1"/>
          </w:tcPr>
          <w:p w14:paraId="6640F26C" w14:textId="77E5E79E" w:rsidR="00694B9A" w:rsidRPr="00F1523C" w:rsidRDefault="00694B9A" w:rsidP="00694B9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Greece</w:t>
            </w:r>
          </w:p>
        </w:tc>
        <w:tc>
          <w:tcPr>
            <w:tcW w:w="0" w:type="auto"/>
            <w:shd w:val="clear" w:color="auto" w:fill="FFFFFF" w:themeFill="background1"/>
          </w:tcPr>
          <w:p w14:paraId="64A104F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048F2A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99249A9"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C20B36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D90776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A41683C"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A489A18"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2BCDEAE"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CA653DF"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A612B3B"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052A146" w14:textId="77777777" w:rsidR="00694B9A" w:rsidRPr="00F1523C" w:rsidRDefault="00694B9A" w:rsidP="00694B9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52171E77" w14:textId="40232BC3" w:rsidR="00694B9A" w:rsidRPr="00F1523C" w:rsidRDefault="00694B9A" w:rsidP="00694B9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E4C4B74" w14:textId="4CAE343E" w:rsidR="00694B9A" w:rsidRPr="00F1523C" w:rsidRDefault="00694B9A" w:rsidP="00694B9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FF79EF1" w14:textId="77777777" w:rsidR="00694B9A" w:rsidRPr="00F1523C" w:rsidRDefault="00694B9A" w:rsidP="00694B9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C576597" w14:textId="77777777" w:rsidR="00694B9A" w:rsidRPr="00F1523C" w:rsidRDefault="00694B9A" w:rsidP="00694B9A">
            <w:pPr>
              <w:spacing w:before="40" w:after="40"/>
              <w:rPr>
                <w:rFonts w:ascii="Times New Roman" w:eastAsia="Times New Roman" w:hAnsi="Times New Roman" w:cs="Times New Roman"/>
                <w:sz w:val="16"/>
                <w:szCs w:val="16"/>
              </w:rPr>
            </w:pPr>
          </w:p>
        </w:tc>
      </w:tr>
      <w:tr w:rsidR="00680400" w:rsidRPr="00F1523C" w14:paraId="42291F6C" w14:textId="77777777" w:rsidTr="00CF7885">
        <w:tc>
          <w:tcPr>
            <w:tcW w:w="0" w:type="auto"/>
            <w:shd w:val="clear" w:color="auto" w:fill="FFFFFF" w:themeFill="background1"/>
          </w:tcPr>
          <w:p w14:paraId="29D73CB1" w14:textId="00EEF788"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Hungary</w:t>
            </w:r>
          </w:p>
        </w:tc>
        <w:tc>
          <w:tcPr>
            <w:tcW w:w="0" w:type="auto"/>
            <w:shd w:val="clear" w:color="auto" w:fill="FFFF00"/>
          </w:tcPr>
          <w:p w14:paraId="41400C5F" w14:textId="6A9AC7A3"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ESHS</w:t>
            </w:r>
            <w:r w:rsidRPr="000B2935">
              <w:rPr>
                <w:rFonts w:ascii="Times New Roman" w:eastAsia="Times New Roman" w:hAnsi="Times New Roman" w:cs="Times New Roman"/>
                <w:sz w:val="14"/>
                <w:szCs w:val="14"/>
              </w:rPr>
              <w:t>)</w:t>
            </w:r>
          </w:p>
        </w:tc>
        <w:tc>
          <w:tcPr>
            <w:tcW w:w="0" w:type="auto"/>
            <w:shd w:val="clear" w:color="auto" w:fill="FFFF00"/>
          </w:tcPr>
          <w:p w14:paraId="51276995" w14:textId="4EE9B100"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700A677F"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5A316254" w14:textId="76382ACF"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3961FA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148720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34A5645"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DC80F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74C4CC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52A98A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00"/>
          </w:tcPr>
          <w:p w14:paraId="0E302727" w14:textId="63CF30EC"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1229" w:type="dxa"/>
            <w:shd w:val="clear" w:color="auto" w:fill="FFFF00"/>
          </w:tcPr>
          <w:p w14:paraId="685AB1C5" w14:textId="1E94B2F7"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A62D20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C1FE288"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E4257A5"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15DCB475" w14:textId="77777777" w:rsidTr="00CF7885">
        <w:tc>
          <w:tcPr>
            <w:tcW w:w="0" w:type="auto"/>
            <w:shd w:val="clear" w:color="auto" w:fill="FFFFFF" w:themeFill="background1"/>
          </w:tcPr>
          <w:p w14:paraId="3270A4F3"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Iceland</w:t>
            </w:r>
          </w:p>
        </w:tc>
        <w:tc>
          <w:tcPr>
            <w:tcW w:w="0" w:type="auto"/>
            <w:shd w:val="clear" w:color="auto" w:fill="FFFF00"/>
          </w:tcPr>
          <w:p w14:paraId="2674BA72" w14:textId="326AA98A"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7217BC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A9695B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DFAD3E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A9FAB12"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A7291D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851460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6DAD4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A877C9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B308037"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643270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7EF7BB8C" w14:textId="04276465"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0F7AC51" w14:textId="7CC0793B"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489A875A"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F05A01F"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31B70E01" w14:textId="77777777" w:rsidTr="00CF7885">
        <w:tc>
          <w:tcPr>
            <w:tcW w:w="0" w:type="auto"/>
            <w:shd w:val="clear" w:color="auto" w:fill="FFFFFF" w:themeFill="background1"/>
          </w:tcPr>
          <w:p w14:paraId="4F03B542"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Ireland</w:t>
            </w:r>
          </w:p>
        </w:tc>
        <w:tc>
          <w:tcPr>
            <w:tcW w:w="0" w:type="auto"/>
            <w:shd w:val="clear" w:color="auto" w:fill="FFFF00"/>
          </w:tcPr>
          <w:p w14:paraId="5C4D8D20" w14:textId="5D3E3FAD"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62BF0E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EC56D1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6F6D46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63F9DE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198A39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7C7E1F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E5E11E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4AF2D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3605DC5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F9DB374" w14:textId="77777777" w:rsidR="00680400" w:rsidRPr="00442020" w:rsidRDefault="00680400" w:rsidP="00680400">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1E6220BB" w14:textId="595A7DEC"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A35B1D4" w14:textId="00E2F874"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8F3EE2D"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2F2A52B"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5DFE8488" w14:textId="77777777" w:rsidTr="00CF7885">
        <w:tc>
          <w:tcPr>
            <w:tcW w:w="0" w:type="auto"/>
            <w:shd w:val="clear" w:color="auto" w:fill="FFFFFF" w:themeFill="background1"/>
          </w:tcPr>
          <w:p w14:paraId="56A11CB9" w14:textId="13F0E91D"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Israel</w:t>
            </w:r>
          </w:p>
        </w:tc>
        <w:tc>
          <w:tcPr>
            <w:tcW w:w="0" w:type="auto"/>
            <w:shd w:val="clear" w:color="auto" w:fill="FFFF00"/>
          </w:tcPr>
          <w:p w14:paraId="7DD7C650" w14:textId="4CDC7D8E"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9DFD47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AE788C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F769A6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40D205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69E0CF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864EA8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3CD028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4875895"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04CB2BE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4260607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342AEA3D" w14:textId="7601E94F"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286F63E" w14:textId="358E6E51"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EA18C41"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D743413"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3F7DFD47" w14:textId="77777777" w:rsidTr="00CF7885">
        <w:tc>
          <w:tcPr>
            <w:tcW w:w="0" w:type="auto"/>
            <w:shd w:val="clear" w:color="auto" w:fill="FFFFFF" w:themeFill="background1"/>
          </w:tcPr>
          <w:p w14:paraId="082F4820"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Italy</w:t>
            </w:r>
          </w:p>
        </w:tc>
        <w:tc>
          <w:tcPr>
            <w:tcW w:w="0" w:type="auto"/>
            <w:shd w:val="clear" w:color="auto" w:fill="FFFFFF" w:themeFill="background1"/>
          </w:tcPr>
          <w:p w14:paraId="18EEAAA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7147C0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7E76327"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52D388A3" w14:textId="17681AD7"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182DBB45" w14:textId="1EC188E8"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D7608A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437C10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B24274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28FE502"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4E1DE7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vAlign w:val="center"/>
          </w:tcPr>
          <w:p w14:paraId="44ABCE8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CBF595F" w14:textId="2D6CDECB"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9F5A7EE" w14:textId="6D68E8FE"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037FC46"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EAFF604"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195C6AEE" w14:textId="77777777" w:rsidTr="00CF7885">
        <w:tc>
          <w:tcPr>
            <w:tcW w:w="0" w:type="auto"/>
            <w:shd w:val="clear" w:color="auto" w:fill="FFFFFF" w:themeFill="background1"/>
          </w:tcPr>
          <w:p w14:paraId="5F6A5027"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lastRenderedPageBreak/>
              <w:t>Kazakhstan</w:t>
            </w:r>
          </w:p>
        </w:tc>
        <w:tc>
          <w:tcPr>
            <w:tcW w:w="0" w:type="auto"/>
            <w:shd w:val="clear" w:color="auto" w:fill="FFFF00"/>
          </w:tcPr>
          <w:p w14:paraId="0C91CD53" w14:textId="1EB707E3"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507EA4DF" w14:textId="11343390"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6F54F0">
              <w:rPr>
                <w:rFonts w:ascii="Times New Roman" w:eastAsia="Times New Roman" w:hAnsi="Times New Roman" w:cs="Times New Roman"/>
                <w:sz w:val="14"/>
                <w:szCs w:val="14"/>
                <w:shd w:val="clear" w:color="auto" w:fill="FFFF00"/>
              </w:rPr>
              <w:t>(air quality)</w:t>
            </w:r>
          </w:p>
        </w:tc>
        <w:tc>
          <w:tcPr>
            <w:tcW w:w="0" w:type="auto"/>
            <w:shd w:val="clear" w:color="auto" w:fill="FFFFFF" w:themeFill="background1"/>
          </w:tcPr>
          <w:p w14:paraId="2587CFF0" w14:textId="5FD50B6B"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6640E441" w14:textId="7A38F07A"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281890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737FB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4FF7F1C3" w14:textId="23225A2F"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3D19D3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9F8859D"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7506029"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00"/>
          </w:tcPr>
          <w:p w14:paraId="1E7292FE" w14:textId="72281087" w:rsidR="00680400" w:rsidRPr="00442020" w:rsidRDefault="00680400" w:rsidP="00680400">
            <w:pPr>
              <w:spacing w:before="40" w:after="40"/>
              <w:jc w:val="center"/>
              <w:rPr>
                <w:rFonts w:ascii="Times New Roman" w:eastAsia="Times New Roman" w:hAnsi="Times New Roman" w:cs="Times New Roman"/>
                <w:sz w:val="16"/>
                <w:szCs w:val="16"/>
                <w:highlight w:val="yellow"/>
              </w:rPr>
            </w:pPr>
            <w:r w:rsidRPr="00442020">
              <w:rPr>
                <w:rFonts w:ascii="Times New Roman" w:eastAsia="Times New Roman" w:hAnsi="Times New Roman" w:cs="Times New Roman"/>
                <w:sz w:val="16"/>
                <w:szCs w:val="16"/>
                <w:highlight w:val="yellow"/>
              </w:rPr>
              <w:t>+</w:t>
            </w:r>
          </w:p>
        </w:tc>
        <w:tc>
          <w:tcPr>
            <w:tcW w:w="1229" w:type="dxa"/>
            <w:shd w:val="clear" w:color="auto" w:fill="FFFFFF" w:themeFill="background1"/>
          </w:tcPr>
          <w:p w14:paraId="0CB8ED4D" w14:textId="328E76DC"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602B4F5" w14:textId="03D49085"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0E50327" w14:textId="49042288"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A736E54" w14:textId="698C5E22"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5CE42AB6" w14:textId="77777777" w:rsidTr="00CF7885">
        <w:tc>
          <w:tcPr>
            <w:tcW w:w="0" w:type="auto"/>
            <w:shd w:val="clear" w:color="auto" w:fill="FFFFFF" w:themeFill="background1"/>
          </w:tcPr>
          <w:p w14:paraId="2D535B76" w14:textId="4CED8C2D" w:rsidR="00680400" w:rsidRPr="00F1523C" w:rsidRDefault="00680400" w:rsidP="00680400">
            <w:pPr>
              <w:spacing w:before="40" w:after="40"/>
              <w:rPr>
                <w:rFonts w:ascii="Times New Roman" w:eastAsia="Times New Roman" w:hAnsi="Times New Roman" w:cs="Times New Roman"/>
                <w:sz w:val="16"/>
                <w:szCs w:val="16"/>
              </w:rPr>
            </w:pPr>
            <w:r>
              <w:rPr>
                <w:rFonts w:ascii="Times New Roman" w:eastAsia="Times New Roman" w:hAnsi="Times New Roman" w:cs="Times New Roman"/>
                <w:sz w:val="16"/>
                <w:szCs w:val="16"/>
              </w:rPr>
              <w:t>Kosovo*</w:t>
            </w:r>
          </w:p>
        </w:tc>
        <w:tc>
          <w:tcPr>
            <w:tcW w:w="0" w:type="auto"/>
            <w:shd w:val="clear" w:color="auto" w:fill="FFFF00"/>
          </w:tcPr>
          <w:p w14:paraId="71E87D7B" w14:textId="561F699E"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F22B9B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23A854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A16F33E" w14:textId="77777777" w:rsidR="00680400" w:rsidRPr="00442020" w:rsidRDefault="00680400" w:rsidP="00680400">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6D7E694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599241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F09ED1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AD9F67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D1A639"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3E2B4D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514A343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B419285" w14:textId="16FBB48D"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D9EEB6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4B9CE9E"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47387B6F"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0ED805BC" w14:textId="77777777" w:rsidTr="00CF7885">
        <w:tc>
          <w:tcPr>
            <w:tcW w:w="0" w:type="auto"/>
            <w:shd w:val="clear" w:color="auto" w:fill="FFFFFF" w:themeFill="background1"/>
          </w:tcPr>
          <w:p w14:paraId="097EDAD8"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Kyrgyzstan</w:t>
            </w:r>
          </w:p>
        </w:tc>
        <w:tc>
          <w:tcPr>
            <w:tcW w:w="0" w:type="auto"/>
            <w:shd w:val="clear" w:color="auto" w:fill="FFFFFF" w:themeFill="background1"/>
          </w:tcPr>
          <w:p w14:paraId="629E54A7" w14:textId="0B240228"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6F226FBE" w14:textId="0C873D6F"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6F54F0">
              <w:rPr>
                <w:rFonts w:ascii="Times New Roman" w:eastAsia="Times New Roman" w:hAnsi="Times New Roman" w:cs="Times New Roman"/>
                <w:sz w:val="14"/>
                <w:szCs w:val="14"/>
                <w:shd w:val="clear" w:color="auto" w:fill="FFFF00"/>
              </w:rPr>
              <w:t>(air quality)</w:t>
            </w:r>
          </w:p>
        </w:tc>
        <w:tc>
          <w:tcPr>
            <w:tcW w:w="0" w:type="auto"/>
            <w:shd w:val="clear" w:color="auto" w:fill="FFFFFF" w:themeFill="background1"/>
          </w:tcPr>
          <w:p w14:paraId="1725CD81" w14:textId="788D90C4"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20497C8C" w14:textId="421F3027"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E3BC08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556DC2F"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049AD53" w14:textId="0ECB6045"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5A8CEA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1EEE9F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4A267C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4EA23B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28172D2" w14:textId="429262EE"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58B101C" w14:textId="2D74522E"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22F5DC8A" w14:textId="79AE3889"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A6C1114"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0B4A5F65" w14:textId="77777777" w:rsidTr="00CF7885">
        <w:tc>
          <w:tcPr>
            <w:tcW w:w="0" w:type="auto"/>
            <w:shd w:val="clear" w:color="auto" w:fill="FFFFFF" w:themeFill="background1"/>
          </w:tcPr>
          <w:p w14:paraId="1060AC21" w14:textId="4FA0705F"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Latvia</w:t>
            </w:r>
          </w:p>
        </w:tc>
        <w:tc>
          <w:tcPr>
            <w:tcW w:w="0" w:type="auto"/>
            <w:shd w:val="clear" w:color="auto" w:fill="FFFFFF" w:themeFill="background1"/>
          </w:tcPr>
          <w:p w14:paraId="67B8359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0EDE11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0E1F2E5"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730217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C80D01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4BCA202"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39FE67D"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E2F4B2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0D5A2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572EAD1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5B04992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5C7E84B" w14:textId="595989B4"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85A395A" w14:textId="1B1EC067"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185719EC"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80AA435"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62751860" w14:textId="77777777" w:rsidTr="00CF7885">
        <w:tc>
          <w:tcPr>
            <w:tcW w:w="0" w:type="auto"/>
            <w:shd w:val="clear" w:color="auto" w:fill="FFFFFF" w:themeFill="background1"/>
          </w:tcPr>
          <w:p w14:paraId="3F3A6CE0" w14:textId="7810B85D"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Lithuania</w:t>
            </w:r>
          </w:p>
        </w:tc>
        <w:tc>
          <w:tcPr>
            <w:tcW w:w="0" w:type="auto"/>
            <w:shd w:val="clear" w:color="auto" w:fill="FFFFFF" w:themeFill="background1"/>
          </w:tcPr>
          <w:p w14:paraId="3F6F9648"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36E517E1" w14:textId="7555945E"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0DD1F6C5"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00"/>
          </w:tcPr>
          <w:p w14:paraId="4AF4A9D9" w14:textId="77D8829D"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724D235"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AA1161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0D869B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BDE5AE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8CE0B4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EFED3F7"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44BE6C4B" w14:textId="77777777" w:rsidR="00680400" w:rsidRPr="00442020" w:rsidRDefault="00680400" w:rsidP="00680400">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37F18BCE" w14:textId="18670F30"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95C354C" w14:textId="6127338D"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517577B4" w14:textId="61586788"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C375999"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1EF29535" w14:textId="77777777" w:rsidTr="00CF7885">
        <w:tc>
          <w:tcPr>
            <w:tcW w:w="0" w:type="auto"/>
            <w:shd w:val="clear" w:color="auto" w:fill="FFFFFF" w:themeFill="background1"/>
          </w:tcPr>
          <w:p w14:paraId="4134F3E4"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Luxembourg</w:t>
            </w:r>
          </w:p>
        </w:tc>
        <w:tc>
          <w:tcPr>
            <w:tcW w:w="0" w:type="auto"/>
            <w:shd w:val="clear" w:color="auto" w:fill="FFFFFF" w:themeFill="background1"/>
          </w:tcPr>
          <w:p w14:paraId="277D439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B963EC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DF288F2"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C7C780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E16067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E025C7E"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BA32B2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894879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4E652B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BB15B2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423E0F1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92B4138" w14:textId="5186FA52"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DBA9DA1" w14:textId="488D20AC"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B3E0114"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C478629"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6CD13FE4" w14:textId="77777777" w:rsidTr="00CF7885">
        <w:tc>
          <w:tcPr>
            <w:tcW w:w="0" w:type="auto"/>
            <w:shd w:val="clear" w:color="auto" w:fill="FFFFFF" w:themeFill="background1"/>
          </w:tcPr>
          <w:p w14:paraId="5B52E293"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Malta</w:t>
            </w:r>
          </w:p>
        </w:tc>
        <w:tc>
          <w:tcPr>
            <w:tcW w:w="0" w:type="auto"/>
            <w:shd w:val="clear" w:color="auto" w:fill="FFFF00"/>
          </w:tcPr>
          <w:p w14:paraId="15CB16D1" w14:textId="653DF92B" w:rsidR="00680400" w:rsidRPr="00F1523C" w:rsidRDefault="00680400" w:rsidP="00680400">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B371B9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C2ACE5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139DE6F"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416F61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EC42F9"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5D22A4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08242ED"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A3A35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6FB76C9"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CFBA79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1F814BBB" w14:textId="6A5654AF"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AAD3EF0" w14:textId="3B720046"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23543FCD"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B2C47F3"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5271D61B" w14:textId="77777777" w:rsidTr="00CF7885">
        <w:tc>
          <w:tcPr>
            <w:tcW w:w="0" w:type="auto"/>
            <w:shd w:val="clear" w:color="auto" w:fill="FFFFFF" w:themeFill="background1"/>
          </w:tcPr>
          <w:p w14:paraId="328D0F88" w14:textId="77777777" w:rsidR="00680400" w:rsidRPr="00F1523C" w:rsidRDefault="00680400" w:rsidP="00680400">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Monaco</w:t>
            </w:r>
          </w:p>
        </w:tc>
        <w:tc>
          <w:tcPr>
            <w:tcW w:w="0" w:type="auto"/>
            <w:shd w:val="clear" w:color="auto" w:fill="FFFFFF" w:themeFill="background1"/>
          </w:tcPr>
          <w:p w14:paraId="6899981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76B9ED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6B96FB4"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2FF1ED0"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04DE3EA"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72D2D06"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B250EAF"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DC347FB"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DE920C"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46CDB83"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D9C49F1" w14:textId="77777777" w:rsidR="00680400" w:rsidRPr="00F1523C" w:rsidRDefault="00680400" w:rsidP="00680400">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2EEF4FE4" w14:textId="3223AC78" w:rsidR="00680400" w:rsidRPr="00F1523C" w:rsidRDefault="00680400" w:rsidP="00680400">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7B106B9" w14:textId="3E4317A8" w:rsidR="00680400" w:rsidRPr="00F1523C" w:rsidRDefault="00680400" w:rsidP="00680400">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D5BB50E" w14:textId="77777777" w:rsidR="00680400" w:rsidRPr="00F1523C" w:rsidRDefault="00680400" w:rsidP="00680400">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45010035" w14:textId="77777777" w:rsidR="00680400" w:rsidRPr="00F1523C" w:rsidRDefault="00680400" w:rsidP="00680400">
            <w:pPr>
              <w:spacing w:before="40" w:after="40"/>
              <w:rPr>
                <w:rFonts w:ascii="Times New Roman" w:eastAsia="Times New Roman" w:hAnsi="Times New Roman" w:cs="Times New Roman"/>
                <w:sz w:val="16"/>
                <w:szCs w:val="16"/>
              </w:rPr>
            </w:pPr>
          </w:p>
        </w:tc>
      </w:tr>
      <w:tr w:rsidR="00BF2221" w:rsidRPr="00F1523C" w14:paraId="28B93C6C" w14:textId="77777777" w:rsidTr="00CF7885">
        <w:tc>
          <w:tcPr>
            <w:tcW w:w="0" w:type="auto"/>
            <w:shd w:val="clear" w:color="auto" w:fill="FFFFFF" w:themeFill="background1"/>
          </w:tcPr>
          <w:p w14:paraId="0A2949B4" w14:textId="37F2DB65" w:rsidR="00BF2221" w:rsidRPr="00F1523C" w:rsidRDefault="00BF2221" w:rsidP="00BF2221">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Montenegro</w:t>
            </w:r>
          </w:p>
        </w:tc>
        <w:tc>
          <w:tcPr>
            <w:tcW w:w="0" w:type="auto"/>
            <w:shd w:val="clear" w:color="auto" w:fill="FFFFFF" w:themeFill="background1"/>
          </w:tcPr>
          <w:p w14:paraId="6CFD242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00"/>
          </w:tcPr>
          <w:p w14:paraId="4660DAFD" w14:textId="7AD77726"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6F54F0">
              <w:rPr>
                <w:rFonts w:ascii="Times New Roman" w:eastAsia="Times New Roman" w:hAnsi="Times New Roman" w:cs="Times New Roman"/>
                <w:sz w:val="14"/>
                <w:szCs w:val="14"/>
                <w:shd w:val="clear" w:color="auto" w:fill="FFFF00"/>
              </w:rPr>
              <w:t>(</w:t>
            </w:r>
            <w:r>
              <w:rPr>
                <w:rFonts w:ascii="Times New Roman" w:eastAsia="Times New Roman" w:hAnsi="Times New Roman" w:cs="Times New Roman"/>
                <w:sz w:val="14"/>
                <w:szCs w:val="14"/>
                <w:shd w:val="clear" w:color="auto" w:fill="FFFF00"/>
              </w:rPr>
              <w:t>chemical safety</w:t>
            </w:r>
            <w:r w:rsidRPr="006F54F0">
              <w:rPr>
                <w:rFonts w:ascii="Times New Roman" w:eastAsia="Times New Roman" w:hAnsi="Times New Roman" w:cs="Times New Roman"/>
                <w:sz w:val="14"/>
                <w:szCs w:val="14"/>
                <w:shd w:val="clear" w:color="auto" w:fill="FFFF00"/>
              </w:rPr>
              <w:t>)</w:t>
            </w:r>
          </w:p>
        </w:tc>
        <w:tc>
          <w:tcPr>
            <w:tcW w:w="0" w:type="auto"/>
            <w:shd w:val="clear" w:color="auto" w:fill="FFFFFF" w:themeFill="background1"/>
          </w:tcPr>
          <w:p w14:paraId="0CBDE844"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00"/>
          </w:tcPr>
          <w:p w14:paraId="6C842FB3" w14:textId="3702D541"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626CC4E"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978A3EE"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435A1E6"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890D67C"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7813C65"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3F6D784"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FB6C13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711F21C9"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2600ECF"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4A24FF87" w14:textId="77777777" w:rsidR="00BF2221" w:rsidRPr="00F1523C" w:rsidRDefault="00BF2221" w:rsidP="00BF2221">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86BC034" w14:textId="77777777" w:rsidR="00BF2221" w:rsidRPr="00F1523C" w:rsidRDefault="00BF2221" w:rsidP="00BF2221">
            <w:pPr>
              <w:spacing w:before="40" w:after="40"/>
              <w:rPr>
                <w:rFonts w:ascii="Times New Roman" w:eastAsia="Times New Roman" w:hAnsi="Times New Roman" w:cs="Times New Roman"/>
                <w:sz w:val="16"/>
                <w:szCs w:val="16"/>
              </w:rPr>
            </w:pPr>
          </w:p>
        </w:tc>
      </w:tr>
      <w:tr w:rsidR="00BF2221" w:rsidRPr="00F1523C" w14:paraId="6A065174" w14:textId="77777777" w:rsidTr="00CF7885">
        <w:tc>
          <w:tcPr>
            <w:tcW w:w="0" w:type="auto"/>
            <w:shd w:val="clear" w:color="auto" w:fill="FFFFFF" w:themeFill="background1"/>
          </w:tcPr>
          <w:p w14:paraId="2551A8FE" w14:textId="0F306AE9" w:rsidR="00BF2221" w:rsidRPr="00F1523C" w:rsidRDefault="00BF2221" w:rsidP="00BF2221">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Netherlands</w:t>
            </w:r>
            <w:r>
              <w:rPr>
                <w:rFonts w:ascii="Times New Roman" w:eastAsia="Times New Roman" w:hAnsi="Times New Roman" w:cs="Times New Roman"/>
                <w:sz w:val="16"/>
                <w:szCs w:val="16"/>
              </w:rPr>
              <w:t xml:space="preserve"> (</w:t>
            </w:r>
            <w:r w:rsidRPr="00F1523C">
              <w:rPr>
                <w:rFonts w:ascii="Times New Roman" w:eastAsia="Times New Roman" w:hAnsi="Times New Roman" w:cs="Times New Roman"/>
                <w:sz w:val="16"/>
                <w:szCs w:val="16"/>
              </w:rPr>
              <w:t>Kingdom of</w:t>
            </w:r>
            <w:r>
              <w:rPr>
                <w:rFonts w:ascii="Times New Roman" w:eastAsia="Times New Roman" w:hAnsi="Times New Roman" w:cs="Times New Roman"/>
                <w:sz w:val="16"/>
                <w:szCs w:val="16"/>
              </w:rPr>
              <w:t xml:space="preserve"> the)</w:t>
            </w:r>
          </w:p>
        </w:tc>
        <w:tc>
          <w:tcPr>
            <w:tcW w:w="0" w:type="auto"/>
            <w:shd w:val="clear" w:color="auto" w:fill="FFFF00"/>
          </w:tcPr>
          <w:p w14:paraId="48CCD018" w14:textId="69ADFECD"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4580EEB"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1414448"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FE5622F"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DF491CB"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00"/>
          </w:tcPr>
          <w:p w14:paraId="3A8A082A" w14:textId="24D1D889"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C6810EB"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95A0AE3"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29B79B"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35DEED3"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D00CE73" w14:textId="77777777" w:rsidR="00BF2221" w:rsidRPr="00442020" w:rsidRDefault="00BF2221" w:rsidP="00BF2221">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1EBA0633" w14:textId="0B60D610"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1F5DE329" w14:textId="4C922C4B" w:rsidR="00BF2221" w:rsidRPr="00F1523C" w:rsidRDefault="00BF2221" w:rsidP="00BF2221">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FE062ED" w14:textId="77777777" w:rsidR="00BF2221" w:rsidRPr="00F1523C" w:rsidRDefault="00BF2221" w:rsidP="00BF2221">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FAEA53F" w14:textId="77777777" w:rsidR="00BF2221" w:rsidRPr="00F1523C" w:rsidRDefault="00BF2221" w:rsidP="00BF2221">
            <w:pPr>
              <w:spacing w:before="40" w:after="40"/>
              <w:rPr>
                <w:rFonts w:ascii="Times New Roman" w:eastAsia="Times New Roman" w:hAnsi="Times New Roman" w:cs="Times New Roman"/>
                <w:sz w:val="16"/>
                <w:szCs w:val="16"/>
              </w:rPr>
            </w:pPr>
          </w:p>
        </w:tc>
      </w:tr>
      <w:tr w:rsidR="00BF2221" w:rsidRPr="00F1523C" w14:paraId="1AE5016F" w14:textId="77777777" w:rsidTr="00CF7885">
        <w:tc>
          <w:tcPr>
            <w:tcW w:w="0" w:type="auto"/>
            <w:shd w:val="clear" w:color="auto" w:fill="FFFFFF" w:themeFill="background1"/>
          </w:tcPr>
          <w:p w14:paraId="0F6FBAD1" w14:textId="77777777" w:rsidR="00BF2221" w:rsidRPr="00F1523C" w:rsidRDefault="00BF2221" w:rsidP="00BF2221">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North Macedonia</w:t>
            </w:r>
          </w:p>
        </w:tc>
        <w:tc>
          <w:tcPr>
            <w:tcW w:w="0" w:type="auto"/>
            <w:shd w:val="clear" w:color="auto" w:fill="FFFF00"/>
          </w:tcPr>
          <w:p w14:paraId="4C5E9813" w14:textId="4F681545"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3FCFAED"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B3330C2"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00"/>
          </w:tcPr>
          <w:p w14:paraId="75E27A6F" w14:textId="78F2D053"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0C7FED30"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BAFD7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A9A8C74"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7BBA5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DE0289A"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16224BC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4BF92B9"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6A1FA1F3" w14:textId="7434481E"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60B3042" w14:textId="618C9AE8" w:rsidR="00BF2221" w:rsidRPr="00F1523C" w:rsidRDefault="00BF2221" w:rsidP="00BF2221">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46472007" w14:textId="77777777" w:rsidR="00BF2221" w:rsidRPr="00F1523C" w:rsidRDefault="00BF2221" w:rsidP="00BF2221">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1C5C361" w14:textId="77777777" w:rsidR="00BF2221" w:rsidRPr="00F1523C" w:rsidRDefault="00BF2221" w:rsidP="00BF2221">
            <w:pPr>
              <w:spacing w:before="40" w:after="40"/>
              <w:rPr>
                <w:rFonts w:ascii="Times New Roman" w:eastAsia="Times New Roman" w:hAnsi="Times New Roman" w:cs="Times New Roman"/>
                <w:sz w:val="16"/>
                <w:szCs w:val="16"/>
              </w:rPr>
            </w:pPr>
          </w:p>
        </w:tc>
      </w:tr>
      <w:tr w:rsidR="00BF2221" w:rsidRPr="00F1523C" w14:paraId="53F5CA0A" w14:textId="77777777" w:rsidTr="00CF7885">
        <w:tc>
          <w:tcPr>
            <w:tcW w:w="0" w:type="auto"/>
            <w:shd w:val="clear" w:color="auto" w:fill="FFFFFF" w:themeFill="background1"/>
          </w:tcPr>
          <w:p w14:paraId="5E74C4B5" w14:textId="77777777" w:rsidR="00BF2221" w:rsidRPr="00F1523C" w:rsidRDefault="00BF2221" w:rsidP="00BF2221">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Norway</w:t>
            </w:r>
          </w:p>
        </w:tc>
        <w:tc>
          <w:tcPr>
            <w:tcW w:w="0" w:type="auto"/>
            <w:shd w:val="clear" w:color="auto" w:fill="FFFF00"/>
          </w:tcPr>
          <w:p w14:paraId="40AB4C3D" w14:textId="1ADE3D00" w:rsidR="00BF2221" w:rsidRPr="00F1523C" w:rsidRDefault="00BF2221" w:rsidP="00BF2221">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06989D00"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7CBBE80"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E580280"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164C5B7"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201AF75"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B4FB44"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DFCB2A3"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55C696"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352AC75"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5AEACC4" w14:textId="77777777" w:rsidR="00BF2221" w:rsidRPr="00F1523C" w:rsidRDefault="00BF2221" w:rsidP="00BF2221">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1D9B0A32" w14:textId="581701D8" w:rsidR="00BF2221" w:rsidRPr="00F1523C" w:rsidRDefault="00BF2221" w:rsidP="00BF2221">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B18186D" w14:textId="5A94E827" w:rsidR="00BF2221" w:rsidRPr="00F1523C" w:rsidRDefault="00BF2221" w:rsidP="00BF2221">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66DD455" w14:textId="77777777" w:rsidR="00BF2221" w:rsidRPr="00F1523C" w:rsidRDefault="00BF2221" w:rsidP="00BF2221">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B6E5D14" w14:textId="77777777" w:rsidR="00BF2221" w:rsidRPr="00F1523C" w:rsidRDefault="00BF2221" w:rsidP="00BF2221">
            <w:pPr>
              <w:spacing w:before="40" w:after="40"/>
              <w:rPr>
                <w:rFonts w:ascii="Times New Roman" w:eastAsia="Times New Roman" w:hAnsi="Times New Roman" w:cs="Times New Roman"/>
                <w:sz w:val="16"/>
                <w:szCs w:val="16"/>
              </w:rPr>
            </w:pPr>
          </w:p>
        </w:tc>
      </w:tr>
      <w:tr w:rsidR="00AA6E5A" w:rsidRPr="00F1523C" w14:paraId="0DE7FAB5" w14:textId="77777777" w:rsidTr="00CF7885">
        <w:tc>
          <w:tcPr>
            <w:tcW w:w="0" w:type="auto"/>
            <w:shd w:val="clear" w:color="auto" w:fill="FFFFFF" w:themeFill="background1"/>
          </w:tcPr>
          <w:p w14:paraId="6DF09755" w14:textId="405B2C9B" w:rsidR="00AA6E5A" w:rsidRPr="00F1523C" w:rsidRDefault="00AA6E5A" w:rsidP="00AA6E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Poland</w:t>
            </w:r>
          </w:p>
        </w:tc>
        <w:tc>
          <w:tcPr>
            <w:tcW w:w="0" w:type="auto"/>
            <w:shd w:val="clear" w:color="auto" w:fill="auto"/>
          </w:tcPr>
          <w:p w14:paraId="41EA97EE" w14:textId="77777777" w:rsidR="00AA6E5A" w:rsidRPr="00442020" w:rsidRDefault="00AA6E5A" w:rsidP="00AA6E5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5FD36FA2"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D6E8273"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00"/>
          </w:tcPr>
          <w:p w14:paraId="238F657F" w14:textId="04CB00A4" w:rsidR="00AA6E5A" w:rsidRPr="00F1523C" w:rsidRDefault="00AA6E5A" w:rsidP="00AA6E5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4F358C4E"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4547E00"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872B4E5"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392886F"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78902F5"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3E435BED"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392A74A8"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2CCA178A"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FF5E00C"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6A1212B" w14:textId="77777777" w:rsidR="00AA6E5A" w:rsidRPr="00F1523C" w:rsidRDefault="00AA6E5A" w:rsidP="00AA6E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1E8275A5" w14:textId="77777777" w:rsidR="00AA6E5A" w:rsidRPr="00F1523C" w:rsidRDefault="00AA6E5A" w:rsidP="00AA6E5A">
            <w:pPr>
              <w:spacing w:before="40" w:after="40"/>
              <w:rPr>
                <w:rFonts w:ascii="Times New Roman" w:eastAsia="Times New Roman" w:hAnsi="Times New Roman" w:cs="Times New Roman"/>
                <w:sz w:val="16"/>
                <w:szCs w:val="16"/>
              </w:rPr>
            </w:pPr>
          </w:p>
        </w:tc>
      </w:tr>
      <w:tr w:rsidR="00AA6E5A" w:rsidRPr="00F1523C" w14:paraId="4710CAC4" w14:textId="77777777" w:rsidTr="00CF7885">
        <w:tc>
          <w:tcPr>
            <w:tcW w:w="0" w:type="auto"/>
            <w:shd w:val="clear" w:color="auto" w:fill="FFFFFF" w:themeFill="background1"/>
          </w:tcPr>
          <w:p w14:paraId="10D5A366" w14:textId="77777777" w:rsidR="00AA6E5A" w:rsidRPr="00F1523C" w:rsidRDefault="00AA6E5A" w:rsidP="00AA6E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Portugal</w:t>
            </w:r>
          </w:p>
        </w:tc>
        <w:tc>
          <w:tcPr>
            <w:tcW w:w="0" w:type="auto"/>
            <w:shd w:val="clear" w:color="auto" w:fill="FFFFFF" w:themeFill="background1"/>
          </w:tcPr>
          <w:p w14:paraId="6EEA2A89"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86EC999"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D38C7ED"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65AA4AA"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6BF83C"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1ECD8B"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BC02CBB"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1A06B7A"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FDFB75A"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97E6901"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87E2133"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2F66F009" w14:textId="494C8B05"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680D69B" w14:textId="6D8F596F" w:rsidR="00AA6E5A" w:rsidRPr="00F1523C" w:rsidRDefault="00AA6E5A" w:rsidP="00AA6E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7B5B587" w14:textId="77777777" w:rsidR="00AA6E5A" w:rsidRPr="00F1523C" w:rsidRDefault="00AA6E5A" w:rsidP="00AA6E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A5A58E4" w14:textId="77777777" w:rsidR="00AA6E5A" w:rsidRPr="00F1523C" w:rsidRDefault="00AA6E5A" w:rsidP="00AA6E5A">
            <w:pPr>
              <w:spacing w:before="40" w:after="40"/>
              <w:rPr>
                <w:rFonts w:ascii="Times New Roman" w:eastAsia="Times New Roman" w:hAnsi="Times New Roman" w:cs="Times New Roman"/>
                <w:sz w:val="16"/>
                <w:szCs w:val="16"/>
              </w:rPr>
            </w:pPr>
          </w:p>
        </w:tc>
      </w:tr>
      <w:tr w:rsidR="00AA6E5A" w:rsidRPr="00F1523C" w14:paraId="28D6835A" w14:textId="77777777" w:rsidTr="00CF7885">
        <w:tc>
          <w:tcPr>
            <w:tcW w:w="0" w:type="auto"/>
            <w:shd w:val="clear" w:color="auto" w:fill="FFFFFF" w:themeFill="background1"/>
          </w:tcPr>
          <w:p w14:paraId="6A3F93EC" w14:textId="77777777" w:rsidR="00AA6E5A" w:rsidRPr="00F1523C" w:rsidRDefault="00AA6E5A" w:rsidP="00AA6E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Republic of Moldova</w:t>
            </w:r>
          </w:p>
        </w:tc>
        <w:tc>
          <w:tcPr>
            <w:tcW w:w="0" w:type="auto"/>
            <w:shd w:val="clear" w:color="auto" w:fill="FFFFFF" w:themeFill="background1"/>
          </w:tcPr>
          <w:p w14:paraId="241AB2F5"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00"/>
          </w:tcPr>
          <w:p w14:paraId="2F501BE6" w14:textId="5A4E142A" w:rsidR="00AA6E5A" w:rsidRPr="00F1523C" w:rsidRDefault="00AA6E5A" w:rsidP="00AA6E5A">
            <w:pPr>
              <w:spacing w:before="40" w:after="40"/>
              <w:jc w:val="center"/>
              <w:rPr>
                <w:rFonts w:ascii="Times New Roman" w:eastAsia="Times New Roman" w:hAnsi="Times New Roman" w:cs="Times New Roman"/>
                <w:sz w:val="16"/>
                <w:szCs w:val="16"/>
              </w:rPr>
            </w:pPr>
            <w:r w:rsidRPr="00442020" w:rsidDel="00CD2310">
              <w:rPr>
                <w:rFonts w:ascii="Times New Roman" w:eastAsia="Times New Roman" w:hAnsi="Times New Roman" w:cs="Times New Roman"/>
                <w:sz w:val="16"/>
                <w:szCs w:val="16"/>
                <w:highlight w:val="yellow"/>
              </w:rPr>
              <w:t>+</w:t>
            </w:r>
            <w:r w:rsidDel="00CD2310">
              <w:rPr>
                <w:rFonts w:ascii="Times New Roman" w:eastAsia="Times New Roman" w:hAnsi="Times New Roman" w:cs="Times New Roman"/>
                <w:sz w:val="16"/>
                <w:szCs w:val="16"/>
              </w:rPr>
              <w:t xml:space="preserve"> </w:t>
            </w:r>
            <w:r w:rsidRPr="006F54F0" w:rsidDel="00CD2310">
              <w:rPr>
                <w:rFonts w:ascii="Times New Roman" w:eastAsia="Times New Roman" w:hAnsi="Times New Roman" w:cs="Times New Roman"/>
                <w:sz w:val="14"/>
                <w:szCs w:val="14"/>
                <w:shd w:val="clear" w:color="auto" w:fill="FFFF00"/>
              </w:rPr>
              <w:t>(</w:t>
            </w:r>
            <w:r>
              <w:rPr>
                <w:rFonts w:ascii="Times New Roman" w:eastAsia="Times New Roman" w:hAnsi="Times New Roman" w:cs="Times New Roman"/>
                <w:sz w:val="14"/>
                <w:szCs w:val="14"/>
                <w:shd w:val="clear" w:color="auto" w:fill="FFFF00"/>
              </w:rPr>
              <w:t>occupational health</w:t>
            </w:r>
            <w:r w:rsidRPr="006F54F0" w:rsidDel="00CD2310">
              <w:rPr>
                <w:rFonts w:ascii="Times New Roman" w:eastAsia="Times New Roman" w:hAnsi="Times New Roman" w:cs="Times New Roman"/>
                <w:sz w:val="14"/>
                <w:szCs w:val="14"/>
                <w:shd w:val="clear" w:color="auto" w:fill="FFFF00"/>
              </w:rPr>
              <w:t>)</w:t>
            </w:r>
          </w:p>
        </w:tc>
        <w:tc>
          <w:tcPr>
            <w:tcW w:w="0" w:type="auto"/>
            <w:shd w:val="clear" w:color="auto" w:fill="FFFFFF" w:themeFill="background1"/>
          </w:tcPr>
          <w:p w14:paraId="2F4B178E" w14:textId="13DDDCFE"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00"/>
          </w:tcPr>
          <w:p w14:paraId="6ED3639F" w14:textId="0C2B2655" w:rsidR="00AA6E5A" w:rsidRPr="00F1523C" w:rsidRDefault="00AA6E5A" w:rsidP="00AA6E5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EA1BE14"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E05CDB8"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FB1FE7D"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C6795D6"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7719858"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041B7A2"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7D1F011" w14:textId="77777777" w:rsidR="00AA6E5A" w:rsidRPr="00F1523C" w:rsidRDefault="00AA6E5A" w:rsidP="00AA6E5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4FA613AC" w14:textId="7E5AADFE" w:rsidR="00AA6E5A" w:rsidRPr="00F1523C" w:rsidRDefault="00AA6E5A" w:rsidP="00AA6E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A7CB171" w14:textId="1B1354BA" w:rsidR="00AA6E5A" w:rsidRPr="00F1523C" w:rsidRDefault="00AA6E5A" w:rsidP="00AA6E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CB00015" w14:textId="587ECF26" w:rsidR="00AA6E5A" w:rsidRPr="00F1523C" w:rsidRDefault="00AA6E5A" w:rsidP="00AA6E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1E77DEC" w14:textId="77777777" w:rsidR="00AA6E5A" w:rsidRPr="00F1523C" w:rsidRDefault="00AA6E5A" w:rsidP="00AA6E5A">
            <w:pPr>
              <w:spacing w:before="40" w:after="40"/>
              <w:rPr>
                <w:rFonts w:ascii="Times New Roman" w:eastAsia="Times New Roman" w:hAnsi="Times New Roman" w:cs="Times New Roman"/>
                <w:sz w:val="16"/>
                <w:szCs w:val="16"/>
              </w:rPr>
            </w:pPr>
          </w:p>
        </w:tc>
      </w:tr>
      <w:tr w:rsidR="00C55585" w:rsidRPr="00F1523C" w14:paraId="281DCB19" w14:textId="77777777" w:rsidTr="00CF7885">
        <w:tc>
          <w:tcPr>
            <w:tcW w:w="0" w:type="auto"/>
            <w:shd w:val="clear" w:color="auto" w:fill="FFFFFF" w:themeFill="background1"/>
          </w:tcPr>
          <w:p w14:paraId="19224DDE" w14:textId="6DA7430E" w:rsidR="00C55585" w:rsidRPr="00F1523C" w:rsidRDefault="00C55585" w:rsidP="00C55585">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Romania</w:t>
            </w:r>
          </w:p>
        </w:tc>
        <w:tc>
          <w:tcPr>
            <w:tcW w:w="0" w:type="auto"/>
            <w:shd w:val="clear" w:color="auto" w:fill="FFFFFF" w:themeFill="background1"/>
          </w:tcPr>
          <w:p w14:paraId="5411EECD"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F030E4E" w14:textId="77777777" w:rsidR="00C55585" w:rsidRPr="00442020" w:rsidDel="00CD2310" w:rsidRDefault="00C55585" w:rsidP="00C55585">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4348AC63"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0A3AF0" w14:textId="77777777" w:rsidR="00C55585" w:rsidRPr="00442020" w:rsidRDefault="00C55585" w:rsidP="00C55585">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6183F562"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699588"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39A4F9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1EBE46A"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1A695D1"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5ECE4E90"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BA8C9C6"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551742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0E1604C"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1380793" w14:textId="77777777" w:rsidR="00C55585" w:rsidRPr="00F1523C" w:rsidRDefault="00C55585" w:rsidP="00C55585">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D873C36" w14:textId="77777777" w:rsidR="00C55585" w:rsidRPr="00F1523C" w:rsidRDefault="00C55585" w:rsidP="00C55585">
            <w:pPr>
              <w:spacing w:before="40" w:after="40"/>
              <w:rPr>
                <w:rFonts w:ascii="Times New Roman" w:eastAsia="Times New Roman" w:hAnsi="Times New Roman" w:cs="Times New Roman"/>
                <w:sz w:val="16"/>
                <w:szCs w:val="16"/>
              </w:rPr>
            </w:pPr>
          </w:p>
        </w:tc>
      </w:tr>
      <w:tr w:rsidR="00C55585" w:rsidRPr="00F1523C" w14:paraId="1E38A8F5" w14:textId="77777777" w:rsidTr="00CF7885">
        <w:tc>
          <w:tcPr>
            <w:tcW w:w="0" w:type="auto"/>
            <w:shd w:val="clear" w:color="auto" w:fill="FFFFFF" w:themeFill="background1"/>
          </w:tcPr>
          <w:p w14:paraId="26E8CE30" w14:textId="44C4674C" w:rsidR="00C55585" w:rsidRPr="00F1523C" w:rsidRDefault="00C55585" w:rsidP="00C55585">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Russian Federation</w:t>
            </w:r>
          </w:p>
        </w:tc>
        <w:tc>
          <w:tcPr>
            <w:tcW w:w="0" w:type="auto"/>
            <w:shd w:val="clear" w:color="auto" w:fill="FFFFFF" w:themeFill="background1"/>
          </w:tcPr>
          <w:p w14:paraId="4C3AC747"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5FBBF58" w14:textId="77777777" w:rsidR="00C55585" w:rsidRPr="00442020" w:rsidDel="00CD2310" w:rsidRDefault="00C55585" w:rsidP="00C55585">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25E85090"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C6763A0" w14:textId="77777777" w:rsidR="00C55585" w:rsidRPr="00442020" w:rsidRDefault="00C55585" w:rsidP="00C55585">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0565DDA0"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F3F734"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D5F429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A8A2CEB"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1E9DE3A"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33FF5361"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652E70E6"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41AE1E64"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FD0BF50"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164849DD" w14:textId="77777777" w:rsidR="00C55585" w:rsidRPr="00F1523C" w:rsidRDefault="00C55585" w:rsidP="00C55585">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E46690A" w14:textId="77777777" w:rsidR="00C55585" w:rsidRPr="00F1523C" w:rsidRDefault="00C55585" w:rsidP="00C55585">
            <w:pPr>
              <w:spacing w:before="40" w:after="40"/>
              <w:rPr>
                <w:rFonts w:ascii="Times New Roman" w:eastAsia="Times New Roman" w:hAnsi="Times New Roman" w:cs="Times New Roman"/>
                <w:sz w:val="16"/>
                <w:szCs w:val="16"/>
              </w:rPr>
            </w:pPr>
          </w:p>
        </w:tc>
      </w:tr>
      <w:tr w:rsidR="00C55585" w:rsidRPr="00F1523C" w14:paraId="38DB1011" w14:textId="77777777" w:rsidTr="00CF7885">
        <w:tc>
          <w:tcPr>
            <w:tcW w:w="0" w:type="auto"/>
            <w:shd w:val="clear" w:color="auto" w:fill="FFFFFF" w:themeFill="background1"/>
          </w:tcPr>
          <w:p w14:paraId="3D1C7BDA" w14:textId="77777777" w:rsidR="00C55585" w:rsidRPr="00F1523C" w:rsidRDefault="00C55585" w:rsidP="00C55585">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San Marino</w:t>
            </w:r>
          </w:p>
        </w:tc>
        <w:tc>
          <w:tcPr>
            <w:tcW w:w="0" w:type="auto"/>
            <w:shd w:val="clear" w:color="auto" w:fill="FFFFFF" w:themeFill="background1"/>
          </w:tcPr>
          <w:p w14:paraId="08C83DC7"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4F6BE22"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8E8D2BB"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6E90222"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403C70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FF6B72C"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6DE0134"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479EC2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C144543"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9B1F39B"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929B094"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4C5B4177" w14:textId="709B1962"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DE10938" w14:textId="0F3A5854" w:rsidR="00C55585" w:rsidRPr="00F1523C" w:rsidRDefault="00C55585" w:rsidP="00C55585">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D2BA7AC" w14:textId="77777777" w:rsidR="00C55585" w:rsidRPr="00F1523C" w:rsidRDefault="00C55585" w:rsidP="00C55585">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CFCC9EA" w14:textId="77777777" w:rsidR="00C55585" w:rsidRPr="00F1523C" w:rsidRDefault="00C55585" w:rsidP="00C55585">
            <w:pPr>
              <w:spacing w:before="40" w:after="40"/>
              <w:rPr>
                <w:rFonts w:ascii="Times New Roman" w:eastAsia="Times New Roman" w:hAnsi="Times New Roman" w:cs="Times New Roman"/>
                <w:sz w:val="16"/>
                <w:szCs w:val="16"/>
              </w:rPr>
            </w:pPr>
          </w:p>
        </w:tc>
      </w:tr>
      <w:tr w:rsidR="00C55585" w:rsidRPr="00F1523C" w14:paraId="57A6C8E7" w14:textId="77777777" w:rsidTr="00CF7885">
        <w:tc>
          <w:tcPr>
            <w:tcW w:w="0" w:type="auto"/>
            <w:shd w:val="clear" w:color="auto" w:fill="FFFFFF" w:themeFill="background1"/>
          </w:tcPr>
          <w:p w14:paraId="4AFAD477" w14:textId="38BA2AB8" w:rsidR="00C55585" w:rsidRPr="00F1523C" w:rsidRDefault="00C55585" w:rsidP="00C55585">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 xml:space="preserve">Serbia </w:t>
            </w:r>
          </w:p>
        </w:tc>
        <w:tc>
          <w:tcPr>
            <w:tcW w:w="0" w:type="auto"/>
            <w:shd w:val="clear" w:color="auto" w:fill="FFFFFF" w:themeFill="background1"/>
          </w:tcPr>
          <w:p w14:paraId="13B5B8B1"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00"/>
          </w:tcPr>
          <w:p w14:paraId="3D7B2183" w14:textId="59059641" w:rsidR="00C55585" w:rsidRPr="00F1523C" w:rsidRDefault="00C55585" w:rsidP="00C55585">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air quality, chemical safety</w:t>
            </w:r>
            <w:r w:rsidRPr="000B2935">
              <w:rPr>
                <w:rFonts w:ascii="Times New Roman" w:eastAsia="Times New Roman" w:hAnsi="Times New Roman" w:cs="Times New Roman"/>
                <w:sz w:val="14"/>
                <w:szCs w:val="14"/>
              </w:rPr>
              <w:t>)</w:t>
            </w:r>
          </w:p>
        </w:tc>
        <w:tc>
          <w:tcPr>
            <w:tcW w:w="0" w:type="auto"/>
            <w:shd w:val="clear" w:color="auto" w:fill="FFFFFF" w:themeFill="background1"/>
          </w:tcPr>
          <w:p w14:paraId="37C175CF"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00"/>
          </w:tcPr>
          <w:p w14:paraId="13D14A2A" w14:textId="46622B68" w:rsidR="00C55585" w:rsidRPr="00F1523C" w:rsidRDefault="00C55585" w:rsidP="00C55585">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5F16D711"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A458EA8"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97E7097"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2B2151D"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4E0E59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32D45C46"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444" w:type="dxa"/>
            <w:shd w:val="clear" w:color="auto" w:fill="FFFF00"/>
          </w:tcPr>
          <w:p w14:paraId="17E4A66D" w14:textId="3F280EEC" w:rsidR="00C55585" w:rsidRPr="00F1523C" w:rsidRDefault="00C55585" w:rsidP="00C55585">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1229" w:type="dxa"/>
            <w:shd w:val="clear" w:color="auto" w:fill="FFFFFF" w:themeFill="background1"/>
          </w:tcPr>
          <w:p w14:paraId="39D15188"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E318F25" w14:textId="77777777" w:rsidR="00C55585" w:rsidRPr="00F1523C" w:rsidRDefault="00C55585" w:rsidP="00C55585">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E4D55E2" w14:textId="77777777" w:rsidR="00C55585" w:rsidRPr="00F1523C" w:rsidRDefault="00C55585" w:rsidP="00C55585">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7E497F8" w14:textId="77777777" w:rsidR="00C55585" w:rsidRPr="00F1523C" w:rsidRDefault="00C55585" w:rsidP="00C55585">
            <w:pPr>
              <w:spacing w:before="40" w:after="40"/>
              <w:rPr>
                <w:rFonts w:ascii="Times New Roman" w:eastAsia="Times New Roman" w:hAnsi="Times New Roman" w:cs="Times New Roman"/>
                <w:sz w:val="16"/>
                <w:szCs w:val="16"/>
              </w:rPr>
            </w:pPr>
          </w:p>
        </w:tc>
      </w:tr>
      <w:tr w:rsidR="0036705A" w:rsidRPr="00F1523C" w14:paraId="6440B1AD" w14:textId="77777777" w:rsidTr="00CF7885">
        <w:tc>
          <w:tcPr>
            <w:tcW w:w="0" w:type="auto"/>
            <w:shd w:val="clear" w:color="auto" w:fill="FFFFFF" w:themeFill="background1"/>
          </w:tcPr>
          <w:p w14:paraId="405E8BB5" w14:textId="7D8213E8" w:rsidR="0036705A" w:rsidRPr="00F1523C" w:rsidRDefault="0036705A" w:rsidP="003670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Slovakia</w:t>
            </w:r>
          </w:p>
        </w:tc>
        <w:tc>
          <w:tcPr>
            <w:tcW w:w="0" w:type="auto"/>
            <w:shd w:val="clear" w:color="auto" w:fill="FFFFFF" w:themeFill="background1"/>
          </w:tcPr>
          <w:p w14:paraId="0622863C"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584595A"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7164BC51"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0995B8C"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5659E7E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222147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077A54C"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90D1174"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5635580"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5ED3E3FB"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01DDF97E"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1229" w:type="dxa"/>
            <w:shd w:val="clear" w:color="auto" w:fill="FFFFFF" w:themeFill="background1"/>
          </w:tcPr>
          <w:p w14:paraId="3BB8FA11"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25E26DC"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10597BF" w14:textId="77777777" w:rsidR="0036705A" w:rsidRPr="00F1523C" w:rsidRDefault="0036705A" w:rsidP="003670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E9B3B5A" w14:textId="77777777" w:rsidR="0036705A" w:rsidRPr="00F1523C" w:rsidRDefault="0036705A" w:rsidP="0036705A">
            <w:pPr>
              <w:spacing w:before="40" w:after="40"/>
              <w:rPr>
                <w:rFonts w:ascii="Times New Roman" w:eastAsia="Times New Roman" w:hAnsi="Times New Roman" w:cs="Times New Roman"/>
                <w:sz w:val="16"/>
                <w:szCs w:val="16"/>
              </w:rPr>
            </w:pPr>
          </w:p>
        </w:tc>
      </w:tr>
      <w:tr w:rsidR="0036705A" w:rsidRPr="00F1523C" w14:paraId="4B6A31D9" w14:textId="77777777" w:rsidTr="00CF7885">
        <w:tc>
          <w:tcPr>
            <w:tcW w:w="0" w:type="auto"/>
            <w:shd w:val="clear" w:color="auto" w:fill="FFFFFF" w:themeFill="background1"/>
          </w:tcPr>
          <w:p w14:paraId="7F0170B9" w14:textId="0242AC9D" w:rsidR="0036705A" w:rsidRPr="00F1523C" w:rsidRDefault="0036705A" w:rsidP="003670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Slovenia</w:t>
            </w:r>
          </w:p>
        </w:tc>
        <w:tc>
          <w:tcPr>
            <w:tcW w:w="0" w:type="auto"/>
            <w:shd w:val="clear" w:color="auto" w:fill="FFFF00"/>
          </w:tcPr>
          <w:p w14:paraId="754E6DAD" w14:textId="2AE41A64" w:rsidR="0036705A" w:rsidRPr="00F1523C" w:rsidRDefault="0036705A" w:rsidP="0036705A">
            <w:pPr>
              <w:spacing w:before="40" w:after="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0" w:type="auto"/>
            <w:shd w:val="clear" w:color="auto" w:fill="FFFFFF" w:themeFill="background1"/>
          </w:tcPr>
          <w:p w14:paraId="5CD28B72"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143C6929"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C9B0E14"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0" w:type="auto"/>
            <w:shd w:val="clear" w:color="auto" w:fill="FFFFFF" w:themeFill="background1"/>
          </w:tcPr>
          <w:p w14:paraId="1377FA59"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CCBDD27"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3F0238B"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90676F"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4DCE24B"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8E23056"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8652BF6"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1229" w:type="dxa"/>
            <w:shd w:val="clear" w:color="auto" w:fill="FFFFFF" w:themeFill="background1"/>
          </w:tcPr>
          <w:p w14:paraId="4C54323D"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5183F00"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1E35D1F9" w14:textId="77777777" w:rsidR="0036705A" w:rsidRPr="00F1523C" w:rsidRDefault="0036705A" w:rsidP="003670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11C4F150" w14:textId="77777777" w:rsidR="0036705A" w:rsidRPr="00F1523C" w:rsidRDefault="0036705A" w:rsidP="0036705A">
            <w:pPr>
              <w:spacing w:before="40" w:after="40"/>
              <w:rPr>
                <w:rFonts w:ascii="Times New Roman" w:eastAsia="Times New Roman" w:hAnsi="Times New Roman" w:cs="Times New Roman"/>
                <w:sz w:val="16"/>
                <w:szCs w:val="16"/>
              </w:rPr>
            </w:pPr>
          </w:p>
        </w:tc>
      </w:tr>
      <w:tr w:rsidR="0036705A" w:rsidRPr="00F1523C" w14:paraId="6E82E740" w14:textId="77777777" w:rsidTr="00CF7885">
        <w:tc>
          <w:tcPr>
            <w:tcW w:w="0" w:type="auto"/>
            <w:shd w:val="clear" w:color="auto" w:fill="FFFFFF" w:themeFill="background1"/>
          </w:tcPr>
          <w:p w14:paraId="7933CCD3" w14:textId="77777777" w:rsidR="0036705A" w:rsidRPr="00F1523C" w:rsidRDefault="0036705A" w:rsidP="003670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Spain</w:t>
            </w:r>
          </w:p>
        </w:tc>
        <w:tc>
          <w:tcPr>
            <w:tcW w:w="0" w:type="auto"/>
            <w:shd w:val="clear" w:color="auto" w:fill="FFFFFF" w:themeFill="background1"/>
          </w:tcPr>
          <w:p w14:paraId="5345BC34"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00"/>
          </w:tcPr>
          <w:p w14:paraId="3551F2FA" w14:textId="13F4C95B" w:rsidR="0036705A" w:rsidRPr="00F1523C" w:rsidRDefault="0036705A" w:rsidP="0036705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HBM</w:t>
            </w:r>
            <w:r w:rsidRPr="000B2935">
              <w:rPr>
                <w:rFonts w:ascii="Times New Roman" w:eastAsia="Times New Roman" w:hAnsi="Times New Roman" w:cs="Times New Roman"/>
                <w:sz w:val="14"/>
                <w:szCs w:val="14"/>
              </w:rPr>
              <w:t>)</w:t>
            </w:r>
          </w:p>
        </w:tc>
        <w:tc>
          <w:tcPr>
            <w:tcW w:w="0" w:type="auto"/>
            <w:shd w:val="clear" w:color="auto" w:fill="FFFFFF" w:themeFill="background1"/>
          </w:tcPr>
          <w:p w14:paraId="23E343BA"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0AA076B"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5EB6D5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3CE516F"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D16FD64"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43D7D8D"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469C697"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B9C75D4"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3C0FC6D6" w14:textId="77777777" w:rsidR="0036705A" w:rsidRPr="00442020" w:rsidRDefault="0036705A" w:rsidP="0036705A">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7BE70C52" w14:textId="41D24E39" w:rsidR="0036705A" w:rsidRPr="00F1523C" w:rsidRDefault="0036705A" w:rsidP="0036705A">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7603DF02" w14:textId="665C3EEE" w:rsidR="0036705A" w:rsidRPr="00F1523C" w:rsidRDefault="0036705A" w:rsidP="003670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D8F4F55" w14:textId="77777777" w:rsidR="0036705A" w:rsidRPr="00F1523C" w:rsidRDefault="0036705A" w:rsidP="003670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D79A384" w14:textId="77777777" w:rsidR="0036705A" w:rsidRPr="00F1523C" w:rsidRDefault="0036705A" w:rsidP="0036705A">
            <w:pPr>
              <w:spacing w:before="40" w:after="40"/>
              <w:rPr>
                <w:rFonts w:ascii="Times New Roman" w:eastAsia="Times New Roman" w:hAnsi="Times New Roman" w:cs="Times New Roman"/>
                <w:sz w:val="16"/>
                <w:szCs w:val="16"/>
              </w:rPr>
            </w:pPr>
          </w:p>
        </w:tc>
      </w:tr>
      <w:tr w:rsidR="0036705A" w:rsidRPr="00F1523C" w14:paraId="0C2DAFD5" w14:textId="77777777" w:rsidTr="00CF7885">
        <w:tc>
          <w:tcPr>
            <w:tcW w:w="0" w:type="auto"/>
            <w:shd w:val="clear" w:color="auto" w:fill="FFFFFF" w:themeFill="background1"/>
          </w:tcPr>
          <w:p w14:paraId="2EEE7C76" w14:textId="77777777" w:rsidR="0036705A" w:rsidRPr="00F1523C" w:rsidRDefault="0036705A" w:rsidP="003670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Sweden</w:t>
            </w:r>
          </w:p>
        </w:tc>
        <w:tc>
          <w:tcPr>
            <w:tcW w:w="0" w:type="auto"/>
            <w:shd w:val="clear" w:color="auto" w:fill="FFFFFF" w:themeFill="background1"/>
          </w:tcPr>
          <w:p w14:paraId="0E29783D"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7F66691"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2C9C188"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1127E16"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D7BD93F"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34A3C20"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1F16361"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813CBE"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19DFAA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9349682"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73C3E782"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2B6A775" w14:textId="3A80A19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47E4C37" w14:textId="69D09A27" w:rsidR="0036705A" w:rsidRPr="00F1523C" w:rsidRDefault="0036705A" w:rsidP="003670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3C3EBADD" w14:textId="77777777" w:rsidR="0036705A" w:rsidRPr="00F1523C" w:rsidRDefault="0036705A" w:rsidP="003670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43FE41C3" w14:textId="77777777" w:rsidR="0036705A" w:rsidRPr="00F1523C" w:rsidRDefault="0036705A" w:rsidP="0036705A">
            <w:pPr>
              <w:spacing w:before="40" w:after="40"/>
              <w:rPr>
                <w:rFonts w:ascii="Times New Roman" w:eastAsia="Times New Roman" w:hAnsi="Times New Roman" w:cs="Times New Roman"/>
                <w:sz w:val="16"/>
                <w:szCs w:val="16"/>
              </w:rPr>
            </w:pPr>
          </w:p>
        </w:tc>
      </w:tr>
      <w:tr w:rsidR="0036705A" w:rsidRPr="00F1523C" w14:paraId="005A0856" w14:textId="77777777" w:rsidTr="00CF7885">
        <w:tc>
          <w:tcPr>
            <w:tcW w:w="0" w:type="auto"/>
            <w:shd w:val="clear" w:color="auto" w:fill="FFFFFF" w:themeFill="background1"/>
          </w:tcPr>
          <w:p w14:paraId="4FBF37A0" w14:textId="77777777" w:rsidR="0036705A" w:rsidRPr="00F1523C" w:rsidRDefault="0036705A" w:rsidP="0036705A">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Switzerland</w:t>
            </w:r>
          </w:p>
        </w:tc>
        <w:tc>
          <w:tcPr>
            <w:tcW w:w="0" w:type="auto"/>
            <w:shd w:val="clear" w:color="auto" w:fill="FFFFFF" w:themeFill="background1"/>
          </w:tcPr>
          <w:p w14:paraId="75C5C64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F543A68"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D516CA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7C1A6A5"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22E454"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49E42EE"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67A8B31"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3A56708"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1A7273F"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B768DDA"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40114119" w14:textId="77777777" w:rsidR="0036705A" w:rsidRPr="00F1523C" w:rsidRDefault="0036705A" w:rsidP="0036705A">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675D36C" w14:textId="69DC3605" w:rsidR="0036705A" w:rsidRPr="00F1523C" w:rsidRDefault="0036705A" w:rsidP="0036705A">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63A8B67" w14:textId="3442EC73" w:rsidR="0036705A" w:rsidRPr="00F1523C" w:rsidRDefault="0036705A" w:rsidP="0036705A">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2F02B587" w14:textId="77777777" w:rsidR="0036705A" w:rsidRPr="00F1523C" w:rsidRDefault="0036705A" w:rsidP="0036705A">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5B8E6232" w14:textId="77777777" w:rsidR="0036705A" w:rsidRPr="00F1523C" w:rsidRDefault="0036705A" w:rsidP="0036705A">
            <w:pPr>
              <w:spacing w:before="40" w:after="40"/>
              <w:rPr>
                <w:rFonts w:ascii="Times New Roman" w:eastAsia="Times New Roman" w:hAnsi="Times New Roman" w:cs="Times New Roman"/>
                <w:sz w:val="16"/>
                <w:szCs w:val="16"/>
              </w:rPr>
            </w:pPr>
          </w:p>
        </w:tc>
      </w:tr>
      <w:tr w:rsidR="00423DD3" w:rsidRPr="00F1523C" w14:paraId="53DBF69F" w14:textId="77777777" w:rsidTr="00CF7885">
        <w:tc>
          <w:tcPr>
            <w:tcW w:w="0" w:type="auto"/>
            <w:shd w:val="clear" w:color="auto" w:fill="FFFFFF" w:themeFill="background1"/>
          </w:tcPr>
          <w:p w14:paraId="6775B5A2" w14:textId="602BD291" w:rsidR="00423DD3" w:rsidRPr="00F1523C" w:rsidRDefault="00423DD3" w:rsidP="00423DD3">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Tajikistan</w:t>
            </w:r>
          </w:p>
        </w:tc>
        <w:tc>
          <w:tcPr>
            <w:tcW w:w="0" w:type="auto"/>
            <w:shd w:val="clear" w:color="auto" w:fill="FFFF00"/>
          </w:tcPr>
          <w:p w14:paraId="29C60296" w14:textId="074485C1"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00"/>
          </w:tcPr>
          <w:p w14:paraId="2C5DFC33" w14:textId="6ACBF049"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(air quality)</w:t>
            </w:r>
          </w:p>
        </w:tc>
        <w:tc>
          <w:tcPr>
            <w:tcW w:w="0" w:type="auto"/>
            <w:shd w:val="clear" w:color="auto" w:fill="FFFFFF" w:themeFill="background1"/>
          </w:tcPr>
          <w:p w14:paraId="2CA103D9"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81D7513"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D211A30"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9F69DCB"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5106656"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132D92B"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C21DFD"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00544C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52D812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0DBFB738"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EE485DC"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6FF00A55" w14:textId="77777777" w:rsidR="00423DD3" w:rsidRPr="00F1523C" w:rsidRDefault="00423DD3" w:rsidP="00423DD3">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66C94EAB" w14:textId="77777777" w:rsidR="00423DD3" w:rsidRPr="00F1523C" w:rsidRDefault="00423DD3" w:rsidP="00423DD3">
            <w:pPr>
              <w:spacing w:before="40" w:after="40"/>
              <w:rPr>
                <w:rFonts w:ascii="Times New Roman" w:eastAsia="Times New Roman" w:hAnsi="Times New Roman" w:cs="Times New Roman"/>
                <w:sz w:val="16"/>
                <w:szCs w:val="16"/>
              </w:rPr>
            </w:pPr>
          </w:p>
        </w:tc>
      </w:tr>
      <w:tr w:rsidR="00423DD3" w:rsidRPr="00F1523C" w14:paraId="601DAECB" w14:textId="77777777" w:rsidTr="00CF7885">
        <w:tc>
          <w:tcPr>
            <w:tcW w:w="0" w:type="auto"/>
            <w:shd w:val="clear" w:color="auto" w:fill="FFFFFF" w:themeFill="background1"/>
          </w:tcPr>
          <w:p w14:paraId="1C86266C" w14:textId="0C39F0F3" w:rsidR="00423DD3" w:rsidRPr="00F1523C" w:rsidRDefault="00423DD3" w:rsidP="00423DD3">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Turkey</w:t>
            </w:r>
          </w:p>
        </w:tc>
        <w:tc>
          <w:tcPr>
            <w:tcW w:w="0" w:type="auto"/>
            <w:shd w:val="clear" w:color="auto" w:fill="FFFF00"/>
          </w:tcPr>
          <w:p w14:paraId="617CCC6F" w14:textId="2CCE230C"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0BBB97F1"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6C0B55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9F8CA2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87113CF"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511E8E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1FE32B"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15AC3E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199816"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4AEC357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62CB2BC1"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275A870C"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6FB9B78"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0D8828B5" w14:textId="77777777" w:rsidR="00423DD3" w:rsidRPr="00F1523C" w:rsidRDefault="00423DD3" w:rsidP="00423DD3">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3B8E60A0" w14:textId="77777777" w:rsidR="00423DD3" w:rsidRPr="00F1523C" w:rsidRDefault="00423DD3" w:rsidP="00423DD3">
            <w:pPr>
              <w:spacing w:before="40" w:after="40"/>
              <w:rPr>
                <w:rFonts w:ascii="Times New Roman" w:eastAsia="Times New Roman" w:hAnsi="Times New Roman" w:cs="Times New Roman"/>
                <w:sz w:val="16"/>
                <w:szCs w:val="16"/>
              </w:rPr>
            </w:pPr>
          </w:p>
        </w:tc>
      </w:tr>
      <w:tr w:rsidR="00423DD3" w:rsidRPr="00F1523C" w14:paraId="25B26E01" w14:textId="77777777" w:rsidTr="00CF7885">
        <w:tc>
          <w:tcPr>
            <w:tcW w:w="0" w:type="auto"/>
            <w:shd w:val="clear" w:color="auto" w:fill="FFFFFF" w:themeFill="background1"/>
          </w:tcPr>
          <w:p w14:paraId="680BC536" w14:textId="25DD5FD0" w:rsidR="00423DD3" w:rsidRPr="00F1523C" w:rsidRDefault="00423DD3" w:rsidP="00423DD3">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lastRenderedPageBreak/>
              <w:t>Turkmenistan</w:t>
            </w:r>
          </w:p>
        </w:tc>
        <w:tc>
          <w:tcPr>
            <w:tcW w:w="0" w:type="auto"/>
            <w:shd w:val="clear" w:color="auto" w:fill="FFFF00"/>
          </w:tcPr>
          <w:p w14:paraId="269990EB" w14:textId="7B234704"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C595B37"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0D30A3"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00"/>
          </w:tcPr>
          <w:p w14:paraId="040FA72C" w14:textId="1368657C"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78D012C"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772EC0C"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ED653E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F5D08E6"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2B4CE0"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2B3107D1"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305999F"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58E3212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C7CD94D"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CA90E8C" w14:textId="77777777" w:rsidR="00423DD3" w:rsidRPr="00F1523C" w:rsidRDefault="00423DD3" w:rsidP="00423DD3">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7CA01E2C" w14:textId="77777777" w:rsidR="00423DD3" w:rsidRPr="00F1523C" w:rsidRDefault="00423DD3" w:rsidP="00423DD3">
            <w:pPr>
              <w:spacing w:before="40" w:after="40"/>
              <w:rPr>
                <w:rFonts w:ascii="Times New Roman" w:eastAsia="Times New Roman" w:hAnsi="Times New Roman" w:cs="Times New Roman"/>
                <w:sz w:val="16"/>
                <w:szCs w:val="16"/>
              </w:rPr>
            </w:pPr>
          </w:p>
        </w:tc>
      </w:tr>
      <w:tr w:rsidR="00423DD3" w:rsidRPr="00F1523C" w14:paraId="2ABE2AE9" w14:textId="77777777" w:rsidTr="00CF7885">
        <w:tc>
          <w:tcPr>
            <w:tcW w:w="0" w:type="auto"/>
            <w:shd w:val="clear" w:color="auto" w:fill="FFFFFF" w:themeFill="background1"/>
          </w:tcPr>
          <w:p w14:paraId="2C663EFE" w14:textId="38B1779E" w:rsidR="00423DD3" w:rsidRPr="00F1523C" w:rsidRDefault="00423DD3" w:rsidP="00423DD3">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Ukraine</w:t>
            </w:r>
          </w:p>
        </w:tc>
        <w:tc>
          <w:tcPr>
            <w:tcW w:w="0" w:type="auto"/>
            <w:shd w:val="clear" w:color="auto" w:fill="FFFF00"/>
          </w:tcPr>
          <w:p w14:paraId="698B6A6A" w14:textId="2709F16F"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247E640A"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FD08CF5"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EBC44C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7A69155"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C222EF7"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16707F57"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4D1FCA0"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6D58607"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388396C8"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2B3C4123"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229" w:type="dxa"/>
            <w:shd w:val="clear" w:color="auto" w:fill="FFFFFF" w:themeFill="background1"/>
          </w:tcPr>
          <w:p w14:paraId="419BA45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AFBB802"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75CECC83" w14:textId="77777777" w:rsidR="00423DD3" w:rsidRPr="00F1523C" w:rsidRDefault="00423DD3" w:rsidP="00423DD3">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1988A8BD" w14:textId="77777777" w:rsidR="00423DD3" w:rsidRPr="00F1523C" w:rsidRDefault="00423DD3" w:rsidP="00423DD3">
            <w:pPr>
              <w:spacing w:before="40" w:after="40"/>
              <w:rPr>
                <w:rFonts w:ascii="Times New Roman" w:eastAsia="Times New Roman" w:hAnsi="Times New Roman" w:cs="Times New Roman"/>
                <w:sz w:val="16"/>
                <w:szCs w:val="16"/>
              </w:rPr>
            </w:pPr>
          </w:p>
        </w:tc>
      </w:tr>
      <w:tr w:rsidR="00423DD3" w:rsidRPr="00F1523C" w14:paraId="78668F7A" w14:textId="77777777" w:rsidTr="00CF7885">
        <w:tc>
          <w:tcPr>
            <w:tcW w:w="0" w:type="auto"/>
            <w:shd w:val="clear" w:color="auto" w:fill="FFFFFF" w:themeFill="background1"/>
          </w:tcPr>
          <w:p w14:paraId="3060AF57" w14:textId="77777777" w:rsidR="00423DD3" w:rsidRPr="00F1523C" w:rsidRDefault="00423DD3" w:rsidP="00423DD3">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United Kingdom of Great Britain and Northern Ireland</w:t>
            </w:r>
          </w:p>
        </w:tc>
        <w:tc>
          <w:tcPr>
            <w:tcW w:w="0" w:type="auto"/>
            <w:shd w:val="clear" w:color="auto" w:fill="FFFF00"/>
          </w:tcPr>
          <w:p w14:paraId="08337852" w14:textId="0FA30317"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99BA1DA"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29D0DA6"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7E2170E4"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3F4E7F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4574DD34"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F56FD3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9DAF269"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3BD9CD07"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6268FBEE" w14:textId="77777777" w:rsidR="00423DD3" w:rsidRPr="00F1523C" w:rsidRDefault="00423DD3" w:rsidP="00423DD3">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587024AE" w14:textId="77777777" w:rsidR="00423DD3" w:rsidRPr="00442020" w:rsidRDefault="00423DD3" w:rsidP="00423DD3">
            <w:pPr>
              <w:spacing w:before="40" w:after="40"/>
              <w:jc w:val="center"/>
              <w:rPr>
                <w:rFonts w:ascii="Times New Roman" w:eastAsia="Times New Roman" w:hAnsi="Times New Roman" w:cs="Times New Roman"/>
                <w:sz w:val="16"/>
                <w:szCs w:val="16"/>
                <w:highlight w:val="yellow"/>
              </w:rPr>
            </w:pPr>
          </w:p>
        </w:tc>
        <w:tc>
          <w:tcPr>
            <w:tcW w:w="1229" w:type="dxa"/>
            <w:shd w:val="clear" w:color="auto" w:fill="FFFF00"/>
          </w:tcPr>
          <w:p w14:paraId="6E2B8C7A" w14:textId="477B18B8" w:rsidR="00423DD3" w:rsidRPr="00F1523C" w:rsidRDefault="00423DD3" w:rsidP="00423DD3">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373DF5D6" w14:textId="44683E51" w:rsidR="00423DD3" w:rsidRPr="00F1523C" w:rsidRDefault="00423DD3" w:rsidP="00423DD3">
            <w:pPr>
              <w:spacing w:before="40" w:after="40"/>
              <w:jc w:val="center"/>
              <w:rPr>
                <w:rFonts w:ascii="Times New Roman" w:eastAsia="Times New Roman" w:hAnsi="Times New Roman" w:cs="Times New Roman"/>
                <w:sz w:val="16"/>
                <w:szCs w:val="16"/>
              </w:rPr>
            </w:pPr>
          </w:p>
        </w:tc>
        <w:tc>
          <w:tcPr>
            <w:tcW w:w="1175" w:type="dxa"/>
            <w:shd w:val="clear" w:color="auto" w:fill="FFFFFF" w:themeFill="background1"/>
          </w:tcPr>
          <w:p w14:paraId="5F0CE310" w14:textId="77777777" w:rsidR="00423DD3" w:rsidRPr="00F1523C" w:rsidRDefault="00423DD3" w:rsidP="00423DD3">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223578C3" w14:textId="77777777" w:rsidR="00423DD3" w:rsidRPr="00F1523C" w:rsidRDefault="00423DD3" w:rsidP="00423DD3">
            <w:pPr>
              <w:spacing w:before="40" w:after="40"/>
              <w:rPr>
                <w:rFonts w:ascii="Times New Roman" w:eastAsia="Times New Roman" w:hAnsi="Times New Roman" w:cs="Times New Roman"/>
                <w:sz w:val="16"/>
                <w:szCs w:val="16"/>
              </w:rPr>
            </w:pPr>
          </w:p>
        </w:tc>
      </w:tr>
      <w:tr w:rsidR="00193D5F" w:rsidRPr="00F1523C" w14:paraId="28D7DD86" w14:textId="77777777" w:rsidTr="00CF7885">
        <w:tc>
          <w:tcPr>
            <w:tcW w:w="0" w:type="auto"/>
            <w:shd w:val="clear" w:color="auto" w:fill="FFFFFF" w:themeFill="background1"/>
          </w:tcPr>
          <w:p w14:paraId="22B95313" w14:textId="1A7AF30B" w:rsidR="00193D5F" w:rsidRPr="00F1523C" w:rsidRDefault="00193D5F" w:rsidP="00193D5F">
            <w:pPr>
              <w:spacing w:before="40" w:after="40"/>
              <w:rPr>
                <w:rFonts w:ascii="Times New Roman" w:eastAsia="Times New Roman" w:hAnsi="Times New Roman" w:cs="Times New Roman"/>
                <w:sz w:val="16"/>
                <w:szCs w:val="16"/>
              </w:rPr>
            </w:pPr>
            <w:r w:rsidRPr="00F1523C">
              <w:rPr>
                <w:rFonts w:ascii="Times New Roman" w:eastAsia="Times New Roman" w:hAnsi="Times New Roman" w:cs="Times New Roman"/>
                <w:sz w:val="16"/>
                <w:szCs w:val="16"/>
              </w:rPr>
              <w:t>Uzbekistan</w:t>
            </w:r>
          </w:p>
        </w:tc>
        <w:tc>
          <w:tcPr>
            <w:tcW w:w="0" w:type="auto"/>
            <w:shd w:val="clear" w:color="auto" w:fill="FFFFFF" w:themeFill="background1"/>
          </w:tcPr>
          <w:p w14:paraId="3AB4B4BA" w14:textId="77777777" w:rsidR="00193D5F" w:rsidRPr="00442020" w:rsidRDefault="00193D5F" w:rsidP="00193D5F">
            <w:pPr>
              <w:spacing w:before="40" w:after="40"/>
              <w:jc w:val="center"/>
              <w:rPr>
                <w:rFonts w:ascii="Times New Roman" w:eastAsia="Times New Roman" w:hAnsi="Times New Roman" w:cs="Times New Roman"/>
                <w:sz w:val="16"/>
                <w:szCs w:val="16"/>
                <w:highlight w:val="yellow"/>
              </w:rPr>
            </w:pPr>
          </w:p>
        </w:tc>
        <w:tc>
          <w:tcPr>
            <w:tcW w:w="0" w:type="auto"/>
            <w:shd w:val="clear" w:color="auto" w:fill="FFFF00"/>
          </w:tcPr>
          <w:p w14:paraId="41861F95" w14:textId="250E6480" w:rsidR="00193D5F" w:rsidRPr="00F1523C" w:rsidRDefault="00193D5F" w:rsidP="00193D5F">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r>
              <w:rPr>
                <w:rFonts w:ascii="Times New Roman" w:eastAsia="Times New Roman" w:hAnsi="Times New Roman" w:cs="Times New Roman"/>
                <w:sz w:val="16"/>
                <w:szCs w:val="16"/>
              </w:rPr>
              <w:t xml:space="preserve"> </w:t>
            </w:r>
            <w:r w:rsidRPr="000B2935">
              <w:rPr>
                <w:rFonts w:ascii="Times New Roman" w:eastAsia="Times New Roman" w:hAnsi="Times New Roman" w:cs="Times New Roman"/>
                <w:sz w:val="14"/>
                <w:szCs w:val="14"/>
              </w:rPr>
              <w:t>(</w:t>
            </w:r>
            <w:r>
              <w:rPr>
                <w:rFonts w:ascii="Times New Roman" w:eastAsia="Times New Roman" w:hAnsi="Times New Roman" w:cs="Times New Roman"/>
                <w:sz w:val="14"/>
                <w:szCs w:val="14"/>
              </w:rPr>
              <w:t xml:space="preserve">air </w:t>
            </w:r>
            <w:r w:rsidR="00CF7885">
              <w:rPr>
                <w:rFonts w:ascii="Times New Roman" w:eastAsia="Times New Roman" w:hAnsi="Times New Roman" w:cs="Times New Roman"/>
                <w:sz w:val="14"/>
                <w:szCs w:val="14"/>
              </w:rPr>
              <w:t>quality</w:t>
            </w:r>
            <w:r w:rsidRPr="000B2935">
              <w:rPr>
                <w:rFonts w:ascii="Times New Roman" w:eastAsia="Times New Roman" w:hAnsi="Times New Roman" w:cs="Times New Roman"/>
                <w:sz w:val="14"/>
                <w:szCs w:val="14"/>
              </w:rPr>
              <w:t>)</w:t>
            </w:r>
          </w:p>
        </w:tc>
        <w:tc>
          <w:tcPr>
            <w:tcW w:w="0" w:type="auto"/>
            <w:shd w:val="clear" w:color="auto" w:fill="FFFFFF" w:themeFill="background1"/>
          </w:tcPr>
          <w:p w14:paraId="51767311"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0" w:type="auto"/>
            <w:shd w:val="clear" w:color="auto" w:fill="FFFF00"/>
          </w:tcPr>
          <w:p w14:paraId="48292825" w14:textId="6E164CA5" w:rsidR="00193D5F" w:rsidRPr="00F1523C" w:rsidRDefault="00193D5F" w:rsidP="00193D5F">
            <w:pPr>
              <w:spacing w:before="40" w:after="40"/>
              <w:jc w:val="center"/>
              <w:rPr>
                <w:rFonts w:ascii="Times New Roman" w:eastAsia="Times New Roman" w:hAnsi="Times New Roman" w:cs="Times New Roman"/>
                <w:sz w:val="16"/>
                <w:szCs w:val="16"/>
              </w:rPr>
            </w:pPr>
            <w:r w:rsidRPr="00442020">
              <w:rPr>
                <w:rFonts w:ascii="Times New Roman" w:eastAsia="Times New Roman" w:hAnsi="Times New Roman" w:cs="Times New Roman"/>
                <w:sz w:val="16"/>
                <w:szCs w:val="16"/>
                <w:highlight w:val="yellow"/>
              </w:rPr>
              <w:t>+</w:t>
            </w:r>
          </w:p>
        </w:tc>
        <w:tc>
          <w:tcPr>
            <w:tcW w:w="0" w:type="auto"/>
            <w:shd w:val="clear" w:color="auto" w:fill="FFFFFF" w:themeFill="background1"/>
          </w:tcPr>
          <w:p w14:paraId="6DF5EC87"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0E7FF620"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5E11DF7F"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6EB7FBFA"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0" w:type="auto"/>
            <w:shd w:val="clear" w:color="auto" w:fill="FFFFFF" w:themeFill="background1"/>
          </w:tcPr>
          <w:p w14:paraId="234A94CB"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730" w:type="dxa"/>
            <w:shd w:val="clear" w:color="auto" w:fill="FFFFFF" w:themeFill="background1"/>
          </w:tcPr>
          <w:p w14:paraId="7F3AE3AB" w14:textId="77777777" w:rsidR="00193D5F" w:rsidRPr="00F1523C" w:rsidRDefault="00193D5F" w:rsidP="00193D5F">
            <w:pPr>
              <w:spacing w:before="40" w:after="40"/>
              <w:jc w:val="center"/>
              <w:rPr>
                <w:rFonts w:ascii="Times New Roman" w:eastAsia="Times New Roman" w:hAnsi="Times New Roman" w:cs="Times New Roman"/>
                <w:sz w:val="16"/>
                <w:szCs w:val="16"/>
              </w:rPr>
            </w:pPr>
          </w:p>
        </w:tc>
        <w:tc>
          <w:tcPr>
            <w:tcW w:w="444" w:type="dxa"/>
            <w:shd w:val="clear" w:color="auto" w:fill="FFFFFF" w:themeFill="background1"/>
          </w:tcPr>
          <w:p w14:paraId="113D129B" w14:textId="77777777" w:rsidR="00193D5F" w:rsidRPr="00442020" w:rsidRDefault="00193D5F" w:rsidP="00193D5F">
            <w:pPr>
              <w:spacing w:before="40" w:after="40"/>
              <w:jc w:val="center"/>
              <w:rPr>
                <w:rFonts w:ascii="Times New Roman" w:eastAsia="Times New Roman" w:hAnsi="Times New Roman" w:cs="Times New Roman"/>
                <w:sz w:val="16"/>
                <w:szCs w:val="16"/>
                <w:highlight w:val="yellow"/>
              </w:rPr>
            </w:pPr>
          </w:p>
        </w:tc>
        <w:tc>
          <w:tcPr>
            <w:tcW w:w="1229" w:type="dxa"/>
            <w:shd w:val="clear" w:color="auto" w:fill="FFFFFF" w:themeFill="background1"/>
          </w:tcPr>
          <w:p w14:paraId="6EFF84F8" w14:textId="77777777" w:rsidR="00193D5F" w:rsidRPr="00442020" w:rsidRDefault="00193D5F" w:rsidP="00193D5F">
            <w:pPr>
              <w:spacing w:before="40" w:after="40"/>
              <w:jc w:val="center"/>
              <w:rPr>
                <w:rFonts w:ascii="Times New Roman" w:eastAsia="Times New Roman" w:hAnsi="Times New Roman" w:cs="Times New Roman"/>
                <w:sz w:val="16"/>
                <w:szCs w:val="16"/>
                <w:highlight w:val="yellow"/>
              </w:rPr>
            </w:pPr>
          </w:p>
        </w:tc>
        <w:tc>
          <w:tcPr>
            <w:tcW w:w="0" w:type="auto"/>
            <w:shd w:val="clear" w:color="auto" w:fill="FFFF00"/>
          </w:tcPr>
          <w:p w14:paraId="5B9D14EE" w14:textId="688736F9" w:rsidR="00193D5F" w:rsidRPr="00F1523C" w:rsidRDefault="00193D5F" w:rsidP="00193D5F">
            <w:pPr>
              <w:spacing w:before="40" w:after="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75" w:type="dxa"/>
            <w:shd w:val="clear" w:color="auto" w:fill="FFFFFF" w:themeFill="background1"/>
          </w:tcPr>
          <w:p w14:paraId="3438CB99" w14:textId="77777777" w:rsidR="00193D5F" w:rsidRPr="00F1523C" w:rsidRDefault="00193D5F" w:rsidP="00193D5F">
            <w:pPr>
              <w:spacing w:before="40" w:after="40"/>
              <w:rPr>
                <w:rFonts w:ascii="Times New Roman" w:eastAsia="Times New Roman" w:hAnsi="Times New Roman" w:cs="Times New Roman"/>
                <w:sz w:val="16"/>
                <w:szCs w:val="16"/>
              </w:rPr>
            </w:pPr>
          </w:p>
        </w:tc>
        <w:tc>
          <w:tcPr>
            <w:tcW w:w="516" w:type="dxa"/>
            <w:shd w:val="clear" w:color="auto" w:fill="FFFFFF" w:themeFill="background1"/>
          </w:tcPr>
          <w:p w14:paraId="01E77DF5" w14:textId="77777777" w:rsidR="00193D5F" w:rsidRPr="00F1523C" w:rsidRDefault="00193D5F" w:rsidP="00193D5F">
            <w:pPr>
              <w:spacing w:before="40" w:after="40"/>
              <w:rPr>
                <w:rFonts w:ascii="Times New Roman" w:eastAsia="Times New Roman" w:hAnsi="Times New Roman" w:cs="Times New Roman"/>
                <w:sz w:val="16"/>
                <w:szCs w:val="16"/>
              </w:rPr>
            </w:pPr>
          </w:p>
        </w:tc>
      </w:tr>
    </w:tbl>
    <w:p w14:paraId="44E5C1C3" w14:textId="2BD063F5" w:rsidR="006D332A" w:rsidRPr="006D332A" w:rsidRDefault="006D332A" w:rsidP="006D332A">
      <w:pPr>
        <w:spacing w:after="0" w:line="240" w:lineRule="auto"/>
        <w:jc w:val="both"/>
        <w:rPr>
          <w:rFonts w:ascii="Times New Roman" w:eastAsia="Times New Roman" w:hAnsi="Times New Roman" w:cs="Times New Roman"/>
          <w:b/>
          <w:i/>
          <w:sz w:val="16"/>
          <w:szCs w:val="16"/>
          <w:lang w:val="en-US"/>
        </w:rPr>
      </w:pPr>
      <w:r w:rsidRPr="006D332A">
        <w:rPr>
          <w:rStyle w:val="cf01"/>
          <w:rFonts w:ascii="Times New Roman" w:hAnsi="Times New Roman" w:cs="Times New Roman"/>
          <w:sz w:val="16"/>
          <w:szCs w:val="16"/>
          <w:lang w:val="en-US"/>
        </w:rPr>
        <w:t>*</w:t>
      </w:r>
      <w:r w:rsidRPr="006D332A">
        <w:rPr>
          <w:rStyle w:val="cf01"/>
          <w:rFonts w:ascii="Times New Roman" w:hAnsi="Times New Roman" w:cs="Times New Roman"/>
          <w:sz w:val="16"/>
          <w:szCs w:val="16"/>
        </w:rPr>
        <w:t>All references to Kosovo in this document should be understood to be in the context of the United Nations Security Council resolution 1244 (1999)</w:t>
      </w:r>
      <w:r>
        <w:rPr>
          <w:rStyle w:val="cf01"/>
          <w:rFonts w:ascii="Times New Roman" w:hAnsi="Times New Roman" w:cs="Times New Roman"/>
          <w:sz w:val="16"/>
          <w:szCs w:val="16"/>
          <w:lang w:val="en-US"/>
        </w:rPr>
        <w:t>.</w:t>
      </w:r>
    </w:p>
    <w:p w14:paraId="491EE4F1" w14:textId="44993728" w:rsidR="00F1523C" w:rsidRPr="00F1523C" w:rsidRDefault="00F1523C" w:rsidP="00F1523C">
      <w:pPr>
        <w:spacing w:before="120" w:after="0" w:line="240" w:lineRule="auto"/>
        <w:jc w:val="both"/>
        <w:rPr>
          <w:rFonts w:ascii="Times New Roman" w:eastAsia="Times New Roman" w:hAnsi="Times New Roman" w:cs="Times New Roman"/>
          <w:b/>
          <w:i/>
          <w:sz w:val="22"/>
          <w:szCs w:val="22"/>
          <w:lang w:val="en-GB"/>
        </w:rPr>
      </w:pPr>
      <w:r w:rsidRPr="00F1523C">
        <w:rPr>
          <w:rFonts w:ascii="Times New Roman" w:eastAsia="Times New Roman" w:hAnsi="Times New Roman" w:cs="Times New Roman"/>
          <w:b/>
          <w:i/>
          <w:sz w:val="22"/>
          <w:szCs w:val="22"/>
          <w:lang w:val="en-GB"/>
        </w:rPr>
        <w:t>Notes:</w:t>
      </w:r>
    </w:p>
    <w:p w14:paraId="143E6BD7" w14:textId="6BEB9A08" w:rsidR="00F1523C" w:rsidRPr="00F1523C" w:rsidRDefault="00F1523C" w:rsidP="00F1523C">
      <w:pPr>
        <w:spacing w:before="120" w:after="0" w:line="240" w:lineRule="auto"/>
        <w:jc w:val="both"/>
        <w:rPr>
          <w:rFonts w:ascii="Times New Roman" w:eastAsia="Times New Roman" w:hAnsi="Times New Roman" w:cs="Times New Roman"/>
          <w:i/>
          <w:sz w:val="22"/>
          <w:szCs w:val="22"/>
          <w:lang w:val="en-GB"/>
        </w:rPr>
      </w:pPr>
      <w:r w:rsidRPr="00F1523C">
        <w:rPr>
          <w:rFonts w:ascii="Times New Roman" w:eastAsia="Times New Roman" w:hAnsi="Times New Roman" w:cs="Times New Roman"/>
          <w:i/>
          <w:sz w:val="22"/>
          <w:szCs w:val="22"/>
          <w:lang w:val="en-GB"/>
        </w:rPr>
        <w:t>Cells marked as “+” indicate bilateral collaboration.</w:t>
      </w:r>
    </w:p>
    <w:p w14:paraId="39BBCB68" w14:textId="77777777" w:rsidR="00F1523C" w:rsidRPr="00F1523C" w:rsidRDefault="00F1523C" w:rsidP="00F1523C">
      <w:pPr>
        <w:spacing w:before="120" w:after="0" w:line="240" w:lineRule="auto"/>
        <w:jc w:val="both"/>
        <w:rPr>
          <w:rFonts w:ascii="Times New Roman" w:eastAsia="Times New Roman" w:hAnsi="Times New Roman" w:cs="Times New Roman"/>
          <w:sz w:val="24"/>
          <w:szCs w:val="20"/>
          <w:lang w:val="en-GB"/>
        </w:rPr>
      </w:pPr>
      <w:r w:rsidRPr="00F1523C">
        <w:rPr>
          <w:rFonts w:ascii="Times New Roman" w:eastAsia="Times New Roman" w:hAnsi="Times New Roman" w:cs="Times New Roman"/>
          <w:i/>
          <w:sz w:val="22"/>
          <w:szCs w:val="22"/>
          <w:lang w:val="en-GB"/>
        </w:rPr>
        <w:t>Determinants of health addressed in the WHO bilateral collaborations in Member States to support national development and implementation of environment and health policies, activities may need further discussion and approval. The list is a “living document</w:t>
      </w:r>
      <w:proofErr w:type="gramStart"/>
      <w:r w:rsidRPr="00F1523C">
        <w:rPr>
          <w:rFonts w:ascii="Times New Roman" w:eastAsia="Times New Roman" w:hAnsi="Times New Roman" w:cs="Times New Roman"/>
          <w:i/>
          <w:sz w:val="22"/>
          <w:szCs w:val="22"/>
          <w:lang w:val="en-GB"/>
        </w:rPr>
        <w:t>”, and</w:t>
      </w:r>
      <w:proofErr w:type="gramEnd"/>
      <w:r w:rsidRPr="00F1523C">
        <w:rPr>
          <w:rFonts w:ascii="Times New Roman" w:eastAsia="Times New Roman" w:hAnsi="Times New Roman" w:cs="Times New Roman"/>
          <w:i/>
          <w:sz w:val="22"/>
          <w:szCs w:val="22"/>
          <w:lang w:val="en-GB"/>
        </w:rPr>
        <w:t xml:space="preserve"> is open to updates as more information becomes available.</w:t>
      </w:r>
    </w:p>
    <w:p w14:paraId="3517A832" w14:textId="77777777" w:rsidR="005931CD" w:rsidRDefault="005931CD">
      <w:pPr>
        <w:rPr>
          <w:rStyle w:val="Emphasis"/>
          <w:rFonts w:asciiTheme="majorHAnsi" w:hAnsiTheme="majorHAnsi" w:cstheme="majorBidi"/>
          <w:i w:val="0"/>
          <w:sz w:val="22"/>
          <w:szCs w:val="22"/>
          <w:lang w:val="en-GB"/>
        </w:rPr>
        <w:sectPr w:rsidR="005931CD" w:rsidSect="00EC2A92">
          <w:pgSz w:w="16840" w:h="11907" w:orient="landscape" w:code="9"/>
          <w:pgMar w:top="1282" w:right="1138" w:bottom="1282" w:left="965" w:header="562" w:footer="288" w:gutter="0"/>
          <w:pgNumType w:start="1"/>
          <w:cols w:space="720"/>
          <w:docGrid w:linePitch="360"/>
        </w:sectPr>
      </w:pPr>
    </w:p>
    <w:p w14:paraId="777ED641" w14:textId="6784140C" w:rsidR="00A14193" w:rsidRDefault="00820333" w:rsidP="2BFC280C">
      <w:pPr>
        <w:pStyle w:val="Heading2"/>
        <w:rPr>
          <w:rStyle w:val="Emphasis"/>
          <w:rFonts w:asciiTheme="majorHAnsi" w:eastAsiaTheme="majorEastAsia" w:hAnsiTheme="majorHAnsi" w:cstheme="majorBidi"/>
          <w:i w:val="0"/>
          <w:iCs w:val="0"/>
          <w:sz w:val="22"/>
          <w:szCs w:val="22"/>
          <w:lang w:val="en-GB"/>
        </w:rPr>
      </w:pPr>
      <w:bookmarkStart w:id="22" w:name="_Toc164096709"/>
      <w:r w:rsidRPr="00354BFE">
        <w:rPr>
          <w:rStyle w:val="Emphasis"/>
          <w:rFonts w:asciiTheme="majorHAnsi" w:hAnsiTheme="majorHAnsi" w:cstheme="majorBidi"/>
          <w:i w:val="0"/>
          <w:sz w:val="22"/>
          <w:szCs w:val="22"/>
          <w:lang w:val="en-GB"/>
        </w:rPr>
        <w:lastRenderedPageBreak/>
        <w:t xml:space="preserve">Annex 2. </w:t>
      </w:r>
      <w:r w:rsidR="00367D4A" w:rsidRPr="2BFC280C">
        <w:rPr>
          <w:rStyle w:val="Emphasis"/>
          <w:rFonts w:asciiTheme="majorHAnsi" w:eastAsiaTheme="majorEastAsia" w:hAnsiTheme="majorHAnsi" w:cstheme="majorBidi"/>
          <w:i w:val="0"/>
          <w:iCs w:val="0"/>
          <w:sz w:val="22"/>
          <w:szCs w:val="22"/>
          <w:lang w:val="en-GB"/>
        </w:rPr>
        <w:t>Rolling calendar of environment and health activities of relevance to the EHTF in 2024</w:t>
      </w:r>
      <w:r w:rsidR="001B58B4">
        <w:rPr>
          <w:rStyle w:val="Emphasis"/>
          <w:rFonts w:asciiTheme="majorHAnsi" w:eastAsiaTheme="majorEastAsia" w:hAnsiTheme="majorHAnsi" w:cstheme="majorBidi"/>
          <w:i w:val="0"/>
          <w:iCs w:val="0"/>
          <w:sz w:val="22"/>
          <w:szCs w:val="22"/>
          <w:lang w:val="en-GB"/>
        </w:rPr>
        <w:t>-</w:t>
      </w:r>
      <w:r w:rsidR="00367D4A" w:rsidRPr="2BFC280C">
        <w:rPr>
          <w:rStyle w:val="Emphasis"/>
          <w:rFonts w:asciiTheme="majorHAnsi" w:eastAsiaTheme="majorEastAsia" w:hAnsiTheme="majorHAnsi" w:cstheme="majorBidi"/>
          <w:i w:val="0"/>
          <w:iCs w:val="0"/>
          <w:sz w:val="22"/>
          <w:szCs w:val="22"/>
          <w:lang w:val="en-GB"/>
        </w:rPr>
        <w:t>2025</w:t>
      </w:r>
      <w:bookmarkEnd w:id="22"/>
    </w:p>
    <w:tbl>
      <w:tblPr>
        <w:tblStyle w:val="TableGrid21"/>
        <w:tblW w:w="5000" w:type="pct"/>
        <w:tblInd w:w="0" w:type="dxa"/>
        <w:tblLook w:val="04A0" w:firstRow="1" w:lastRow="0" w:firstColumn="1" w:lastColumn="0" w:noHBand="0" w:noVBand="1"/>
      </w:tblPr>
      <w:tblGrid>
        <w:gridCol w:w="5994"/>
        <w:gridCol w:w="3351"/>
      </w:tblGrid>
      <w:tr w:rsidR="007D5CA9" w:rsidRPr="00F1523C" w14:paraId="76313BBD" w14:textId="77777777" w:rsidTr="00F85ACF">
        <w:trPr>
          <w:trHeight w:val="845"/>
          <w:tblHeader/>
        </w:trPr>
        <w:tc>
          <w:tcPr>
            <w:tcW w:w="3207" w:type="pct"/>
            <w:tcBorders>
              <w:top w:val="single" w:sz="4" w:space="0" w:color="auto"/>
              <w:left w:val="single" w:sz="4" w:space="0" w:color="auto"/>
              <w:bottom w:val="single" w:sz="4" w:space="0" w:color="auto"/>
              <w:right w:val="single" w:sz="4" w:space="0" w:color="auto"/>
            </w:tcBorders>
            <w:vAlign w:val="center"/>
            <w:hideMark/>
          </w:tcPr>
          <w:p w14:paraId="3CAE9C96" w14:textId="77777777" w:rsidR="007D5CA9" w:rsidRPr="00F1523C" w:rsidRDefault="007D5CA9" w:rsidP="00F1523C">
            <w:pPr>
              <w:spacing w:before="60" w:after="60"/>
              <w:jc w:val="center"/>
              <w:rPr>
                <w:rFonts w:ascii="Times New Roman" w:eastAsia="Times New Roman" w:hAnsi="Times New Roman" w:cs="Times New Roman"/>
                <w:b/>
                <w:bCs/>
              </w:rPr>
            </w:pPr>
            <w:r w:rsidRPr="00F1523C">
              <w:rPr>
                <w:rFonts w:ascii="Times New Roman" w:eastAsia="Times New Roman" w:hAnsi="Times New Roman" w:cs="Times New Roman"/>
                <w:b/>
                <w:bCs/>
              </w:rPr>
              <w:t>Title</w:t>
            </w:r>
          </w:p>
        </w:tc>
        <w:tc>
          <w:tcPr>
            <w:tcW w:w="1793" w:type="pct"/>
            <w:tcBorders>
              <w:top w:val="single" w:sz="4" w:space="0" w:color="auto"/>
              <w:left w:val="single" w:sz="4" w:space="0" w:color="auto"/>
              <w:bottom w:val="single" w:sz="4" w:space="0" w:color="auto"/>
              <w:right w:val="single" w:sz="4" w:space="0" w:color="auto"/>
            </w:tcBorders>
            <w:vAlign w:val="center"/>
            <w:hideMark/>
          </w:tcPr>
          <w:p w14:paraId="11B9E9A2" w14:textId="77777777" w:rsidR="007D5CA9" w:rsidRPr="00F1523C" w:rsidRDefault="007D5CA9" w:rsidP="00F1523C">
            <w:pPr>
              <w:spacing w:before="60" w:after="60"/>
              <w:jc w:val="center"/>
              <w:rPr>
                <w:rFonts w:ascii="Times New Roman" w:eastAsia="Times New Roman" w:hAnsi="Times New Roman" w:cs="Times New Roman"/>
                <w:b/>
                <w:bCs/>
              </w:rPr>
            </w:pPr>
            <w:r w:rsidRPr="00F1523C">
              <w:rPr>
                <w:rFonts w:ascii="Times New Roman" w:eastAsia="Times New Roman" w:hAnsi="Times New Roman" w:cs="Times New Roman"/>
                <w:b/>
                <w:bCs/>
              </w:rPr>
              <w:t>Date and place</w:t>
            </w:r>
          </w:p>
        </w:tc>
      </w:tr>
      <w:tr w:rsidR="00F85ACF" w:rsidRPr="00F1523C" w14:paraId="686BF9EE"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6988B4" w14:textId="4FEA13EB" w:rsidR="00F85ACF" w:rsidRPr="00CF40B6" w:rsidRDefault="00F85ACF" w:rsidP="00CF40B6">
            <w:pPr>
              <w:spacing w:before="60" w:after="60"/>
              <w:rPr>
                <w:rFonts w:ascii="Times New Roman" w:eastAsia="Times New Roman" w:hAnsi="Times New Roman" w:cs="Times New Roman"/>
                <w:highlight w:val="yellow"/>
              </w:rPr>
            </w:pPr>
            <w:r w:rsidRPr="00F85ACF">
              <w:rPr>
                <w:rFonts w:ascii="Times New Roman" w:eastAsia="Times New Roman" w:hAnsi="Times New Roman" w:cs="Times New Roman"/>
              </w:rPr>
              <w:t>Arctic Congress</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E1518" w14:textId="15E4A449" w:rsidR="00F85ACF" w:rsidRDefault="00F85ACF" w:rsidP="00CF40B6">
            <w:pPr>
              <w:spacing w:before="60" w:after="60"/>
              <w:rPr>
                <w:rFonts w:ascii="Times New Roman" w:eastAsia="Times New Roman" w:hAnsi="Times New Roman" w:cs="Times New Roman"/>
              </w:rPr>
            </w:pPr>
            <w:r w:rsidRPr="00F85ACF">
              <w:rPr>
                <w:rFonts w:ascii="Times New Roman" w:eastAsia="Times New Roman" w:hAnsi="Times New Roman" w:cs="Times New Roman"/>
              </w:rPr>
              <w:t>9 May</w:t>
            </w:r>
            <w:r>
              <w:rPr>
                <w:rFonts w:ascii="Symbol" w:eastAsia="Symbol" w:hAnsi="Symbol" w:cs="Symbol"/>
              </w:rPr>
              <w:t>-</w:t>
            </w:r>
            <w:r w:rsidRPr="00F85ACF">
              <w:rPr>
                <w:rFonts w:ascii="Times New Roman" w:eastAsia="Times New Roman" w:hAnsi="Times New Roman" w:cs="Times New Roman"/>
              </w:rPr>
              <w:t>3 June 2024</w:t>
            </w:r>
            <w:r>
              <w:rPr>
                <w:rFonts w:ascii="Times New Roman" w:eastAsia="Times New Roman" w:hAnsi="Times New Roman" w:cs="Times New Roman"/>
              </w:rPr>
              <w:t xml:space="preserve">, </w:t>
            </w:r>
            <w:r w:rsidRPr="00F85ACF">
              <w:rPr>
                <w:rFonts w:ascii="Times New Roman" w:eastAsia="Times New Roman" w:hAnsi="Times New Roman" w:cs="Times New Roman"/>
              </w:rPr>
              <w:t>Bodø, Norway</w:t>
            </w:r>
          </w:p>
        </w:tc>
      </w:tr>
      <w:tr w:rsidR="001F7032" w:rsidRPr="00F1523C" w14:paraId="1558868C" w14:textId="77777777" w:rsidTr="001F7032">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9A3120" w14:textId="021EA5C2" w:rsidR="001F7032" w:rsidRPr="00F85ACF" w:rsidRDefault="00344362" w:rsidP="00CF40B6">
            <w:pPr>
              <w:spacing w:before="60" w:after="60"/>
              <w:rPr>
                <w:rFonts w:ascii="Times New Roman" w:eastAsia="Times New Roman" w:hAnsi="Times New Roman" w:cs="Times New Roman"/>
              </w:rPr>
            </w:pPr>
            <w:r>
              <w:rPr>
                <w:rFonts w:ascii="Times New Roman" w:eastAsia="Times New Roman" w:hAnsi="Times New Roman" w:cs="Times New Roman"/>
              </w:rPr>
              <w:t>H</w:t>
            </w:r>
            <w:r w:rsidRPr="00344362">
              <w:rPr>
                <w:rFonts w:ascii="Times New Roman" w:eastAsia="Times New Roman" w:hAnsi="Times New Roman" w:cs="Times New Roman"/>
              </w:rPr>
              <w:t>igh-level Conference on One Health which</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B96E1" w14:textId="187FD1EF" w:rsidR="001F7032" w:rsidRPr="00F85ACF" w:rsidRDefault="00344362" w:rsidP="00CF40B6">
            <w:pPr>
              <w:spacing w:before="60" w:after="60"/>
              <w:rPr>
                <w:rFonts w:ascii="Times New Roman" w:eastAsia="Times New Roman" w:hAnsi="Times New Roman" w:cs="Times New Roman"/>
              </w:rPr>
            </w:pPr>
            <w:r w:rsidRPr="00344362">
              <w:rPr>
                <w:rFonts w:ascii="Times New Roman" w:eastAsia="Times New Roman" w:hAnsi="Times New Roman" w:cs="Times New Roman"/>
              </w:rPr>
              <w:t>11</w:t>
            </w:r>
            <w:r>
              <w:rPr>
                <w:rFonts w:ascii="Symbol" w:eastAsia="Symbol" w:hAnsi="Symbol" w:cs="Symbol"/>
              </w:rPr>
              <w:sym w:font="Symbol" w:char="F02D"/>
            </w:r>
            <w:r w:rsidRPr="00344362">
              <w:rPr>
                <w:rFonts w:ascii="Times New Roman" w:eastAsia="Times New Roman" w:hAnsi="Times New Roman" w:cs="Times New Roman"/>
              </w:rPr>
              <w:t>13 June 2024</w:t>
            </w:r>
            <w:r>
              <w:rPr>
                <w:rFonts w:ascii="Times New Roman" w:eastAsia="Times New Roman" w:hAnsi="Times New Roman" w:cs="Times New Roman"/>
              </w:rPr>
              <w:t>, Vienna, Austria</w:t>
            </w:r>
          </w:p>
        </w:tc>
      </w:tr>
      <w:tr w:rsidR="00CF40B6" w:rsidRPr="00F1523C" w14:paraId="5828B632"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5CDF7A" w14:textId="6D9F137E" w:rsidR="00CF40B6" w:rsidRDefault="00CF40B6" w:rsidP="00CF40B6">
            <w:pPr>
              <w:spacing w:before="60" w:after="60"/>
              <w:rPr>
                <w:rFonts w:ascii="Times New Roman" w:eastAsia="Times New Roman" w:hAnsi="Times New Roman" w:cs="Times New Roman"/>
              </w:rPr>
            </w:pPr>
            <w:r>
              <w:rPr>
                <w:rFonts w:ascii="Times New Roman" w:eastAsia="Times New Roman" w:hAnsi="Times New Roman" w:cs="Times New Roman"/>
              </w:rPr>
              <w:t>14</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the EHTF</w:t>
            </w:r>
          </w:p>
        </w:tc>
        <w:tc>
          <w:tcPr>
            <w:tcW w:w="17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F5F79A" w14:textId="4C641995" w:rsidR="00CF40B6" w:rsidRDefault="00CF40B6" w:rsidP="00CF40B6">
            <w:pPr>
              <w:spacing w:before="60" w:after="60"/>
              <w:rPr>
                <w:rFonts w:ascii="Times New Roman" w:eastAsia="Times New Roman" w:hAnsi="Times New Roman" w:cs="Times New Roman"/>
              </w:rPr>
            </w:pPr>
            <w:r>
              <w:rPr>
                <w:rFonts w:ascii="Times New Roman" w:eastAsia="Times New Roman" w:hAnsi="Times New Roman" w:cs="Times New Roman"/>
              </w:rPr>
              <w:t>26</w:t>
            </w:r>
            <w:r>
              <w:rPr>
                <w:rFonts w:ascii="Symbol" w:eastAsia="Symbol" w:hAnsi="Symbol" w:cs="Symbol"/>
              </w:rPr>
              <w:t>-</w:t>
            </w:r>
            <w:r>
              <w:rPr>
                <w:rFonts w:ascii="Times New Roman" w:eastAsia="Times New Roman" w:hAnsi="Times New Roman" w:cs="Times New Roman"/>
              </w:rPr>
              <w:t xml:space="preserve">27 June 2024, </w:t>
            </w:r>
            <w:r w:rsidR="003D2EE9">
              <w:rPr>
                <w:rFonts w:ascii="Times New Roman" w:eastAsia="Times New Roman" w:hAnsi="Times New Roman" w:cs="Times New Roman"/>
              </w:rPr>
              <w:t>Netherlands (Kingdom of the)</w:t>
            </w:r>
          </w:p>
        </w:tc>
      </w:tr>
      <w:tr w:rsidR="00A429CD" w:rsidRPr="00F1523C" w14:paraId="6C1C147A"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6177B6" w14:textId="6AF91E00" w:rsidR="00BD249E" w:rsidRPr="00F85ACF" w:rsidRDefault="00BD249E" w:rsidP="00CF40B6">
            <w:pPr>
              <w:spacing w:before="60" w:after="60"/>
              <w:rPr>
                <w:rFonts w:ascii="Times New Roman" w:eastAsia="Times New Roman" w:hAnsi="Times New Roman" w:cs="Times New Roman"/>
              </w:rPr>
            </w:pPr>
            <w:r w:rsidRPr="00BD249E">
              <w:rPr>
                <w:rFonts w:ascii="Times New Roman" w:eastAsia="Times New Roman" w:hAnsi="Times New Roman" w:cs="Times New Roman"/>
              </w:rPr>
              <w:t>Central Asia International Health Investment Forum</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3A61B4" w14:textId="6D9E03B6" w:rsidR="00BD249E" w:rsidRDefault="00075932" w:rsidP="00CF40B6">
            <w:pPr>
              <w:spacing w:before="60" w:after="60"/>
              <w:rPr>
                <w:rFonts w:ascii="Times New Roman" w:eastAsia="Times New Roman" w:hAnsi="Times New Roman" w:cs="Times New Roman"/>
              </w:rPr>
            </w:pPr>
            <w:r w:rsidRPr="00075932">
              <w:rPr>
                <w:rFonts w:ascii="Times New Roman" w:eastAsia="Times New Roman" w:hAnsi="Times New Roman" w:cs="Times New Roman"/>
              </w:rPr>
              <w:t>26 – 27 June 2024</w:t>
            </w:r>
            <w:r>
              <w:rPr>
                <w:rFonts w:ascii="Times New Roman" w:eastAsia="Times New Roman" w:hAnsi="Times New Roman" w:cs="Times New Roman"/>
              </w:rPr>
              <w:t xml:space="preserve">, </w:t>
            </w:r>
            <w:r w:rsidR="00B401B2" w:rsidRPr="00B401B2">
              <w:rPr>
                <w:rFonts w:ascii="Times New Roman" w:eastAsia="Times New Roman" w:hAnsi="Times New Roman" w:cs="Times New Roman"/>
              </w:rPr>
              <w:t>Bishkek, Kyrgyzstan</w:t>
            </w:r>
          </w:p>
        </w:tc>
      </w:tr>
      <w:tr w:rsidR="00F85ACF" w:rsidRPr="00F1523C" w14:paraId="18E80481"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0F650A" w14:textId="5FFA0541" w:rsidR="00F85ACF" w:rsidRDefault="00F85ACF" w:rsidP="00CF40B6">
            <w:pPr>
              <w:spacing w:before="60" w:after="60"/>
              <w:rPr>
                <w:rFonts w:ascii="Times New Roman" w:eastAsia="Times New Roman" w:hAnsi="Times New Roman" w:cs="Times New Roman"/>
              </w:rPr>
            </w:pPr>
            <w:r w:rsidRPr="00F85ACF">
              <w:rPr>
                <w:rFonts w:ascii="Times New Roman" w:eastAsia="Times New Roman" w:hAnsi="Times New Roman" w:cs="Times New Roman"/>
              </w:rPr>
              <w:t>43</w:t>
            </w:r>
            <w:r w:rsidRPr="00F85ACF">
              <w:rPr>
                <w:rFonts w:ascii="Times New Roman" w:eastAsia="Times New Roman" w:hAnsi="Times New Roman" w:cs="Times New Roman"/>
                <w:vertAlign w:val="superscript"/>
              </w:rPr>
              <w:t>rd</w:t>
            </w:r>
            <w:r>
              <w:rPr>
                <w:rFonts w:ascii="Times New Roman" w:eastAsia="Times New Roman" w:hAnsi="Times New Roman" w:cs="Times New Roman"/>
              </w:rPr>
              <w:t xml:space="preserve"> </w:t>
            </w:r>
            <w:r w:rsidRPr="00F85ACF">
              <w:rPr>
                <w:rFonts w:ascii="Times New Roman" w:eastAsia="Times New Roman" w:hAnsi="Times New Roman" w:cs="Times New Roman"/>
              </w:rPr>
              <w:t>meeting of THE PEP Bureau</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A401DA" w14:textId="0C707027" w:rsidR="00F85ACF" w:rsidRDefault="00F85ACF" w:rsidP="00CF40B6">
            <w:pPr>
              <w:spacing w:before="60" w:after="60"/>
              <w:rPr>
                <w:rFonts w:ascii="Times New Roman" w:eastAsia="Times New Roman" w:hAnsi="Times New Roman" w:cs="Times New Roman"/>
              </w:rPr>
            </w:pPr>
            <w:r>
              <w:rPr>
                <w:rFonts w:ascii="Times New Roman" w:eastAsia="Times New Roman" w:hAnsi="Times New Roman" w:cs="Times New Roman"/>
              </w:rPr>
              <w:t>June/July 2024</w:t>
            </w:r>
          </w:p>
        </w:tc>
      </w:tr>
      <w:tr w:rsidR="00CF40B6" w:rsidRPr="00F1523C" w14:paraId="2E483A50"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1BAF9F" w14:textId="5F65E496" w:rsidR="00CF40B6" w:rsidRDefault="00CF40B6" w:rsidP="00CF40B6">
            <w:pPr>
              <w:spacing w:before="60" w:after="60"/>
              <w:rPr>
                <w:rFonts w:ascii="Times New Roman" w:eastAsia="Times New Roman" w:hAnsi="Times New Roman" w:cs="Times New Roman"/>
              </w:rPr>
            </w:pPr>
            <w:r w:rsidRPr="00CF40B6">
              <w:rPr>
                <w:rFonts w:ascii="Times New Roman" w:eastAsia="Times New Roman" w:hAnsi="Times New Roman" w:cs="Times New Roman"/>
              </w:rPr>
              <w:t>74</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CF40B6">
              <w:rPr>
                <w:rFonts w:ascii="Times New Roman" w:eastAsia="Times New Roman" w:hAnsi="Times New Roman" w:cs="Times New Roman"/>
              </w:rPr>
              <w:t>session of the WHO Regional Committee for Europe</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2D349D" w14:textId="62FF31EC" w:rsidR="00CF40B6" w:rsidRDefault="00CF40B6" w:rsidP="00CF40B6">
            <w:pPr>
              <w:spacing w:before="60" w:after="60"/>
              <w:rPr>
                <w:rFonts w:ascii="Times New Roman" w:eastAsia="Times New Roman" w:hAnsi="Times New Roman" w:cs="Times New Roman"/>
              </w:rPr>
            </w:pPr>
            <w:r w:rsidRPr="00CF40B6">
              <w:rPr>
                <w:rFonts w:ascii="Times New Roman" w:eastAsia="Times New Roman" w:hAnsi="Times New Roman" w:cs="Times New Roman"/>
              </w:rPr>
              <w:t>29–31 October 2024</w:t>
            </w:r>
            <w:r>
              <w:rPr>
                <w:rFonts w:ascii="Times New Roman" w:eastAsia="Times New Roman" w:hAnsi="Times New Roman" w:cs="Times New Roman"/>
              </w:rPr>
              <w:t xml:space="preserve">, </w:t>
            </w:r>
            <w:r w:rsidRPr="00CF40B6">
              <w:rPr>
                <w:rFonts w:ascii="Times New Roman" w:eastAsia="Times New Roman" w:hAnsi="Times New Roman" w:cs="Times New Roman"/>
              </w:rPr>
              <w:t>Copenhagen, Denmark</w:t>
            </w:r>
          </w:p>
        </w:tc>
      </w:tr>
      <w:tr w:rsidR="00F85ACF" w:rsidRPr="00F1523C" w14:paraId="28FEE4F1"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EEF1AF" w14:textId="6A851731" w:rsidR="00F85ACF" w:rsidRPr="00CF40B6" w:rsidRDefault="00F85ACF" w:rsidP="00CF40B6">
            <w:pPr>
              <w:spacing w:before="60" w:after="60"/>
              <w:rPr>
                <w:rFonts w:ascii="Times New Roman" w:eastAsia="Times New Roman" w:hAnsi="Times New Roman" w:cs="Times New Roman"/>
              </w:rPr>
            </w:pPr>
            <w:r w:rsidRPr="00F85ACF">
              <w:rPr>
                <w:rFonts w:ascii="Times New Roman" w:eastAsia="Times New Roman" w:hAnsi="Times New Roman" w:cs="Times New Roman"/>
              </w:rPr>
              <w:t>22</w:t>
            </w:r>
            <w:r w:rsidRPr="00F85ACF">
              <w:rPr>
                <w:rFonts w:ascii="Times New Roman" w:eastAsia="Times New Roman" w:hAnsi="Times New Roman" w:cs="Times New Roman"/>
                <w:vertAlign w:val="superscript"/>
              </w:rPr>
              <w:t>nd</w:t>
            </w:r>
            <w:r>
              <w:rPr>
                <w:rFonts w:ascii="Times New Roman" w:eastAsia="Times New Roman" w:hAnsi="Times New Roman" w:cs="Times New Roman"/>
                <w:vertAlign w:val="superscript"/>
              </w:rPr>
              <w:t xml:space="preserve"> </w:t>
            </w:r>
            <w:r>
              <w:rPr>
                <w:rFonts w:ascii="Times New Roman" w:eastAsia="Times New Roman" w:hAnsi="Times New Roman" w:cs="Times New Roman"/>
              </w:rPr>
              <w:t>s</w:t>
            </w:r>
            <w:r w:rsidRPr="00F85ACF">
              <w:rPr>
                <w:rFonts w:ascii="Times New Roman" w:eastAsia="Times New Roman" w:hAnsi="Times New Roman" w:cs="Times New Roman"/>
              </w:rPr>
              <w:t>ession of THE PEP S</w:t>
            </w:r>
            <w:r>
              <w:rPr>
                <w:rFonts w:ascii="Times New Roman" w:eastAsia="Times New Roman" w:hAnsi="Times New Roman" w:cs="Times New Roman"/>
              </w:rPr>
              <w:t>teering Committee</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BAA955" w14:textId="192C4F40" w:rsidR="00F85ACF" w:rsidRPr="00CF40B6" w:rsidRDefault="00F85ACF" w:rsidP="00CF40B6">
            <w:pPr>
              <w:spacing w:before="60" w:after="60"/>
              <w:rPr>
                <w:rFonts w:ascii="Times New Roman" w:eastAsia="Times New Roman" w:hAnsi="Times New Roman" w:cs="Times New Roman"/>
              </w:rPr>
            </w:pPr>
            <w:r>
              <w:rPr>
                <w:rFonts w:ascii="Times New Roman" w:eastAsia="Times New Roman" w:hAnsi="Times New Roman" w:cs="Times New Roman"/>
              </w:rPr>
              <w:t>October 2024, Geneva, Switzerland</w:t>
            </w:r>
          </w:p>
        </w:tc>
      </w:tr>
      <w:tr w:rsidR="00CF40B6" w:rsidRPr="00F1523C" w14:paraId="6E27C76B"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78E8ED" w14:textId="009F6FAC" w:rsidR="00CF40B6" w:rsidRPr="00CF40B6" w:rsidRDefault="00CF40B6" w:rsidP="00CF40B6">
            <w:pPr>
              <w:spacing w:before="60" w:after="60"/>
              <w:rPr>
                <w:rFonts w:ascii="Times New Roman" w:eastAsia="Times New Roman" w:hAnsi="Times New Roman" w:cs="Times New Roman"/>
              </w:rPr>
            </w:pPr>
            <w:r>
              <w:rPr>
                <w:rFonts w:ascii="Times New Roman" w:eastAsia="Times New Roman" w:hAnsi="Times New Roman" w:cs="Times New Roman"/>
              </w:rPr>
              <w:t>29</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annual Conference of the Parties to the United Nations Framework Convention on Climate Change</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8CC328" w14:textId="5911C642" w:rsidR="00CF40B6" w:rsidRPr="00CF40B6" w:rsidRDefault="00CF40B6" w:rsidP="00CF40B6">
            <w:pPr>
              <w:spacing w:before="60" w:after="60"/>
              <w:rPr>
                <w:rFonts w:ascii="Times New Roman" w:eastAsia="Times New Roman" w:hAnsi="Times New Roman" w:cs="Times New Roman"/>
              </w:rPr>
            </w:pPr>
            <w:r>
              <w:rPr>
                <w:rFonts w:ascii="Times New Roman" w:eastAsia="Times New Roman" w:hAnsi="Times New Roman" w:cs="Times New Roman"/>
              </w:rPr>
              <w:t>11</w:t>
            </w:r>
            <w:r>
              <w:rPr>
                <w:rFonts w:ascii="Symbol" w:eastAsia="Symbol" w:hAnsi="Symbol" w:cs="Symbol"/>
              </w:rPr>
              <w:t>-</w:t>
            </w:r>
            <w:r>
              <w:rPr>
                <w:rFonts w:ascii="Times New Roman" w:eastAsia="Times New Roman" w:hAnsi="Times New Roman" w:cs="Times New Roman"/>
              </w:rPr>
              <w:t>24 N</w:t>
            </w:r>
            <w:r w:rsidRPr="00CF40B6">
              <w:rPr>
                <w:rFonts w:ascii="Times New Roman" w:eastAsia="Times New Roman" w:hAnsi="Times New Roman" w:cs="Times New Roman"/>
              </w:rPr>
              <w:t xml:space="preserve">ovember </w:t>
            </w:r>
            <w:r>
              <w:rPr>
                <w:rFonts w:ascii="Times New Roman" w:eastAsia="Times New Roman" w:hAnsi="Times New Roman" w:cs="Times New Roman"/>
              </w:rPr>
              <w:t xml:space="preserve">2024, </w:t>
            </w:r>
            <w:r w:rsidRPr="00CF40B6">
              <w:rPr>
                <w:rFonts w:ascii="Times New Roman" w:eastAsia="Times New Roman" w:hAnsi="Times New Roman" w:cs="Times New Roman"/>
              </w:rPr>
              <w:t>Baku, Azerbaijan</w:t>
            </w:r>
          </w:p>
        </w:tc>
      </w:tr>
      <w:tr w:rsidR="006C2794" w:rsidRPr="00F1523C" w14:paraId="24A0BB62"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23E03B" w14:textId="0CECC91B" w:rsidR="006C2794" w:rsidRDefault="006C2794" w:rsidP="006C2794">
            <w:pPr>
              <w:spacing w:before="60" w:after="60"/>
              <w:rPr>
                <w:rFonts w:ascii="Times New Roman" w:eastAsia="Times New Roman" w:hAnsi="Times New Roman" w:cs="Times New Roman"/>
              </w:rPr>
            </w:pPr>
            <w:r w:rsidRPr="00DB7367">
              <w:rPr>
                <w:rFonts w:ascii="Times New Roman" w:eastAsia="Times New Roman" w:hAnsi="Times New Roman" w:cs="Times New Roman"/>
              </w:rPr>
              <w:t>High-level Conference on Governance and Capacities for Environment and Health</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5E243B" w14:textId="3D2A8256" w:rsidR="006C2794" w:rsidRDefault="006C2794" w:rsidP="006C2794">
            <w:pPr>
              <w:spacing w:before="60" w:after="60"/>
              <w:rPr>
                <w:rFonts w:ascii="Times New Roman" w:eastAsia="Times New Roman" w:hAnsi="Times New Roman" w:cs="Times New Roman"/>
              </w:rPr>
            </w:pPr>
            <w:r>
              <w:rPr>
                <w:rFonts w:ascii="Times New Roman" w:eastAsia="Times New Roman" w:hAnsi="Times New Roman" w:cs="Times New Roman"/>
              </w:rPr>
              <w:t>2</w:t>
            </w:r>
            <w:r w:rsidRPr="00CF40B6">
              <w:rPr>
                <w:rFonts w:ascii="Times New Roman" w:eastAsia="Times New Roman" w:hAnsi="Times New Roman" w:cs="Times New Roman"/>
              </w:rPr>
              <w:t>–</w:t>
            </w:r>
            <w:r>
              <w:rPr>
                <w:rFonts w:ascii="Times New Roman" w:eastAsia="Times New Roman" w:hAnsi="Times New Roman" w:cs="Times New Roman"/>
              </w:rPr>
              <w:t>4 December 2024</w:t>
            </w:r>
          </w:p>
        </w:tc>
      </w:tr>
      <w:tr w:rsidR="006C2794" w:rsidRPr="00F1523C" w14:paraId="30221BA3"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CDB7D2" w14:textId="70346C9E" w:rsidR="006C2794" w:rsidRPr="00F1523C" w:rsidRDefault="006C2794" w:rsidP="006C2794">
            <w:pPr>
              <w:spacing w:before="60" w:after="60"/>
              <w:rPr>
                <w:rFonts w:ascii="Times New Roman" w:eastAsia="Times New Roman" w:hAnsi="Times New Roman" w:cs="Times New Roman"/>
              </w:rPr>
            </w:pPr>
            <w:r>
              <w:rPr>
                <w:rFonts w:ascii="Times New Roman" w:eastAsia="Times New Roman" w:hAnsi="Times New Roman" w:cs="Times New Roman"/>
              </w:rPr>
              <w:t>13</w:t>
            </w:r>
            <w:r w:rsidRPr="007D5CA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meeting of the EHTF Bureau</w:t>
            </w:r>
          </w:p>
        </w:tc>
        <w:tc>
          <w:tcPr>
            <w:tcW w:w="17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11DE5D" w14:textId="2637D96B" w:rsidR="006C2794" w:rsidRPr="00F1523C" w:rsidRDefault="006C2794" w:rsidP="006C2794">
            <w:pPr>
              <w:spacing w:before="60" w:after="60"/>
              <w:rPr>
                <w:rFonts w:ascii="Times New Roman" w:eastAsia="Times New Roman" w:hAnsi="Times New Roman" w:cs="Times New Roman"/>
              </w:rPr>
            </w:pPr>
            <w:r>
              <w:rPr>
                <w:rFonts w:ascii="Times New Roman" w:eastAsia="Times New Roman" w:hAnsi="Times New Roman" w:cs="Times New Roman"/>
              </w:rPr>
              <w:t xml:space="preserve">Q3/Q4 </w:t>
            </w:r>
            <w:r w:rsidRPr="00F1523C">
              <w:rPr>
                <w:rFonts w:ascii="Times New Roman" w:eastAsia="Times New Roman" w:hAnsi="Times New Roman" w:cs="Times New Roman"/>
              </w:rPr>
              <w:t>20</w:t>
            </w:r>
            <w:r>
              <w:rPr>
                <w:rFonts w:ascii="Times New Roman" w:eastAsia="Times New Roman" w:hAnsi="Times New Roman" w:cs="Times New Roman"/>
              </w:rPr>
              <w:t>24</w:t>
            </w:r>
            <w:r w:rsidRPr="00F1523C">
              <w:rPr>
                <w:rFonts w:ascii="Times New Roman" w:eastAsia="Times New Roman" w:hAnsi="Times New Roman" w:cs="Times New Roman"/>
              </w:rPr>
              <w:t>, virtual</w:t>
            </w:r>
          </w:p>
        </w:tc>
      </w:tr>
      <w:tr w:rsidR="00680400" w:rsidRPr="00F1523C" w14:paraId="162B5C64" w14:textId="77777777" w:rsidTr="00680400">
        <w:tc>
          <w:tcPr>
            <w:tcW w:w="3207" w:type="pct"/>
            <w:tcBorders>
              <w:top w:val="single" w:sz="4" w:space="0" w:color="auto"/>
              <w:left w:val="single" w:sz="4" w:space="0" w:color="auto"/>
              <w:bottom w:val="single" w:sz="4" w:space="0" w:color="auto"/>
              <w:right w:val="single" w:sz="4" w:space="0" w:color="auto"/>
            </w:tcBorders>
            <w:shd w:val="clear" w:color="auto" w:fill="E7E6E6" w:themeFill="background2"/>
          </w:tcPr>
          <w:p w14:paraId="76DC0D7A" w14:textId="4CBD6793"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M</w:t>
            </w:r>
            <w:r w:rsidRPr="00F1523C">
              <w:rPr>
                <w:rFonts w:ascii="Times New Roman" w:eastAsia="Times New Roman" w:hAnsi="Times New Roman" w:cs="Times New Roman"/>
              </w:rPr>
              <w:t>eeting of the Working Group on Health in Climate Change</w:t>
            </w:r>
          </w:p>
        </w:tc>
        <w:tc>
          <w:tcPr>
            <w:tcW w:w="1793" w:type="pct"/>
            <w:tcBorders>
              <w:top w:val="single" w:sz="4" w:space="0" w:color="auto"/>
              <w:left w:val="single" w:sz="4" w:space="0" w:color="auto"/>
              <w:bottom w:val="single" w:sz="4" w:space="0" w:color="auto"/>
              <w:right w:val="single" w:sz="4" w:space="0" w:color="auto"/>
            </w:tcBorders>
            <w:shd w:val="clear" w:color="auto" w:fill="E7E6E6" w:themeFill="background2"/>
          </w:tcPr>
          <w:p w14:paraId="72FE05A4" w14:textId="1A7C1DC9" w:rsidR="00680400" w:rsidRDefault="00EF6166" w:rsidP="00680400">
            <w:pPr>
              <w:spacing w:before="60" w:after="60"/>
              <w:rPr>
                <w:rFonts w:ascii="Times New Roman" w:eastAsia="Times New Roman" w:hAnsi="Times New Roman" w:cs="Times New Roman"/>
              </w:rPr>
            </w:pPr>
            <w:r>
              <w:rPr>
                <w:rFonts w:ascii="Times New Roman" w:eastAsia="Times New Roman" w:hAnsi="Times New Roman" w:cs="Times New Roman"/>
              </w:rPr>
              <w:t>2024</w:t>
            </w:r>
          </w:p>
        </w:tc>
      </w:tr>
      <w:tr w:rsidR="00680400" w:rsidRPr="00F1523C" w14:paraId="2ABF4CF5" w14:textId="77777777" w:rsidTr="00DB7367">
        <w:tc>
          <w:tcPr>
            <w:tcW w:w="320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F1BC08" w14:textId="3ED148D8" w:rsidR="00680400" w:rsidRPr="00DB7367"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8</w:t>
            </w:r>
            <w:r w:rsidRPr="00DB7367">
              <w:rPr>
                <w:rFonts w:ascii="Times New Roman" w:eastAsia="Times New Roman" w:hAnsi="Times New Roman" w:cs="Times New Roman"/>
                <w:vertAlign w:val="superscript"/>
              </w:rPr>
              <w:t>th</w:t>
            </w:r>
            <w:r>
              <w:rPr>
                <w:rFonts w:ascii="Times New Roman" w:eastAsia="Times New Roman" w:hAnsi="Times New Roman" w:cs="Times New Roman"/>
              </w:rPr>
              <w:t xml:space="preserve"> Bonn Dialogue</w:t>
            </w:r>
          </w:p>
        </w:tc>
        <w:tc>
          <w:tcPr>
            <w:tcW w:w="1793"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EC73169" w14:textId="2FDC324C"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2024</w:t>
            </w:r>
          </w:p>
        </w:tc>
      </w:tr>
      <w:tr w:rsidR="00680400" w:rsidRPr="00F1523C" w14:paraId="4923C60D" w14:textId="77777777" w:rsidTr="00DB7367">
        <w:tc>
          <w:tcPr>
            <w:tcW w:w="320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A3944AF" w14:textId="6F961CE9" w:rsidR="00680400" w:rsidRPr="00DB7367"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9</w:t>
            </w:r>
            <w:r w:rsidRPr="00DB7367">
              <w:rPr>
                <w:rFonts w:ascii="Times New Roman" w:eastAsia="Times New Roman" w:hAnsi="Times New Roman" w:cs="Times New Roman"/>
                <w:vertAlign w:val="superscript"/>
              </w:rPr>
              <w:t>th</w:t>
            </w:r>
            <w:r>
              <w:rPr>
                <w:rFonts w:ascii="Times New Roman" w:eastAsia="Times New Roman" w:hAnsi="Times New Roman" w:cs="Times New Roman"/>
              </w:rPr>
              <w:t xml:space="preserve"> Bonn Dialogue</w:t>
            </w:r>
          </w:p>
        </w:tc>
        <w:tc>
          <w:tcPr>
            <w:tcW w:w="1793"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20C9E5A" w14:textId="2D826594"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2024</w:t>
            </w:r>
          </w:p>
        </w:tc>
      </w:tr>
      <w:tr w:rsidR="00680400" w:rsidRPr="00F1523C" w14:paraId="280E1B71" w14:textId="77777777" w:rsidTr="00DB7367">
        <w:tc>
          <w:tcPr>
            <w:tcW w:w="320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3FB087" w14:textId="3DA29617" w:rsidR="00680400" w:rsidRPr="00DB7367"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10</w:t>
            </w:r>
            <w:r w:rsidRPr="00DB7367">
              <w:rPr>
                <w:rFonts w:ascii="Times New Roman" w:eastAsia="Times New Roman" w:hAnsi="Times New Roman" w:cs="Times New Roman"/>
                <w:vertAlign w:val="superscript"/>
              </w:rPr>
              <w:t>th</w:t>
            </w:r>
            <w:r>
              <w:rPr>
                <w:rFonts w:ascii="Times New Roman" w:eastAsia="Times New Roman" w:hAnsi="Times New Roman" w:cs="Times New Roman"/>
              </w:rPr>
              <w:t xml:space="preserve"> Bonn Dialogue</w:t>
            </w:r>
          </w:p>
        </w:tc>
        <w:tc>
          <w:tcPr>
            <w:tcW w:w="1793"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A63F72C" w14:textId="7E7F9BAE"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2024</w:t>
            </w:r>
          </w:p>
        </w:tc>
      </w:tr>
      <w:tr w:rsidR="00680400" w:rsidRPr="00F1523C" w14:paraId="3E50D432"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8B13F5" w14:textId="479CA6A0"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14</w:t>
            </w:r>
            <w:r w:rsidRPr="007D5CA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meeting of the EHTF</w:t>
            </w:r>
            <w:r>
              <w:rPr>
                <w:rFonts w:ascii="Times New Roman" w:eastAsia="Times New Roman" w:hAnsi="Times New Roman" w:cs="Times New Roman"/>
              </w:rPr>
              <w:t xml:space="preserve"> Bureau</w:t>
            </w:r>
          </w:p>
        </w:tc>
        <w:tc>
          <w:tcPr>
            <w:tcW w:w="17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6C62" w14:textId="5FB13046"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Q1/Q2 2025, virtual</w:t>
            </w:r>
          </w:p>
        </w:tc>
      </w:tr>
      <w:tr w:rsidR="00680400" w:rsidRPr="00F1523C" w14:paraId="137064B6"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E963CC" w14:textId="2B95D9B4"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15</w:t>
            </w:r>
            <w:r w:rsidRPr="007D5CA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meeting of the EHTF</w:t>
            </w:r>
          </w:p>
        </w:tc>
        <w:tc>
          <w:tcPr>
            <w:tcW w:w="17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A65696" w14:textId="2ECD93ED"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Q3 2025</w:t>
            </w:r>
          </w:p>
        </w:tc>
      </w:tr>
      <w:tr w:rsidR="00680400" w:rsidRPr="00F1523C" w14:paraId="716E68E7"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5FBB8C" w14:textId="4A9781E8" w:rsidR="00680400" w:rsidRDefault="00680400" w:rsidP="00680400">
            <w:pPr>
              <w:spacing w:before="60" w:after="60"/>
              <w:rPr>
                <w:rFonts w:ascii="Times New Roman" w:eastAsia="Times New Roman" w:hAnsi="Times New Roman" w:cs="Times New Roman"/>
              </w:rPr>
            </w:pPr>
            <w:r w:rsidRPr="00F85ACF">
              <w:rPr>
                <w:rFonts w:ascii="Times New Roman" w:eastAsia="Times New Roman" w:hAnsi="Times New Roman" w:cs="Times New Roman"/>
              </w:rPr>
              <w:t>23</w:t>
            </w:r>
            <w:r w:rsidRPr="00F85ACF">
              <w:rPr>
                <w:rFonts w:ascii="Times New Roman" w:eastAsia="Times New Roman" w:hAnsi="Times New Roman" w:cs="Times New Roman"/>
                <w:vertAlign w:val="superscript"/>
              </w:rPr>
              <w:t>rd</w:t>
            </w:r>
            <w:r>
              <w:rPr>
                <w:rFonts w:ascii="Times New Roman" w:eastAsia="Times New Roman" w:hAnsi="Times New Roman" w:cs="Times New Roman"/>
              </w:rPr>
              <w:t xml:space="preserve"> s</w:t>
            </w:r>
            <w:r w:rsidRPr="00F85ACF">
              <w:rPr>
                <w:rFonts w:ascii="Times New Roman" w:eastAsia="Times New Roman" w:hAnsi="Times New Roman" w:cs="Times New Roman"/>
              </w:rPr>
              <w:t xml:space="preserve">ession of THE PEP SC </w:t>
            </w:r>
          </w:p>
        </w:tc>
        <w:tc>
          <w:tcPr>
            <w:tcW w:w="1793"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AA96F6" w14:textId="6834BF30"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Q3/Q4 2024, Geneva, Switzerland</w:t>
            </w:r>
          </w:p>
        </w:tc>
      </w:tr>
      <w:tr w:rsidR="00680400" w:rsidRPr="00F1523C" w14:paraId="1957487E"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450E3" w14:textId="1FB0B428"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15</w:t>
            </w:r>
            <w:r w:rsidRPr="007D5CA9">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of the EHTF Bureau</w:t>
            </w:r>
          </w:p>
        </w:tc>
        <w:tc>
          <w:tcPr>
            <w:tcW w:w="1793"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300C33" w14:textId="58FC19D4"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 xml:space="preserve">Q3/Q4 </w:t>
            </w:r>
            <w:r w:rsidRPr="00F1523C">
              <w:rPr>
                <w:rFonts w:ascii="Times New Roman" w:eastAsia="Times New Roman" w:hAnsi="Times New Roman" w:cs="Times New Roman"/>
              </w:rPr>
              <w:t>20</w:t>
            </w:r>
            <w:r>
              <w:rPr>
                <w:rFonts w:ascii="Times New Roman" w:eastAsia="Times New Roman" w:hAnsi="Times New Roman" w:cs="Times New Roman"/>
              </w:rPr>
              <w:t>25</w:t>
            </w:r>
            <w:r w:rsidRPr="00F1523C">
              <w:rPr>
                <w:rFonts w:ascii="Times New Roman" w:eastAsia="Times New Roman" w:hAnsi="Times New Roman" w:cs="Times New Roman"/>
              </w:rPr>
              <w:t>, virtual</w:t>
            </w:r>
          </w:p>
        </w:tc>
      </w:tr>
      <w:tr w:rsidR="00680400" w:rsidRPr="00F1523C" w14:paraId="365905CA"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774ACE6" w14:textId="4EEA577A" w:rsidR="00680400" w:rsidRDefault="00680400" w:rsidP="00680400">
            <w:pPr>
              <w:spacing w:before="60" w:after="60"/>
              <w:rPr>
                <w:rFonts w:ascii="Times New Roman" w:eastAsia="Times New Roman" w:hAnsi="Times New Roman" w:cs="Times New Roman"/>
              </w:rPr>
            </w:pPr>
            <w:r w:rsidRPr="00CF40B6">
              <w:rPr>
                <w:rFonts w:ascii="Times New Roman" w:eastAsia="Times New Roman" w:hAnsi="Times New Roman" w:cs="Times New Roman"/>
              </w:rPr>
              <w:t>7</w:t>
            </w:r>
            <w:r>
              <w:rPr>
                <w:rFonts w:ascii="Times New Roman" w:eastAsia="Times New Roman" w:hAnsi="Times New Roman" w:cs="Times New Roman"/>
              </w:rPr>
              <w:t>5</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CF40B6">
              <w:rPr>
                <w:rFonts w:ascii="Times New Roman" w:eastAsia="Times New Roman" w:hAnsi="Times New Roman" w:cs="Times New Roman"/>
              </w:rPr>
              <w:t>session of the WHO Regional Committee for Europe</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19E453" w14:textId="0F2AB598"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Q3 2025</w:t>
            </w:r>
          </w:p>
        </w:tc>
      </w:tr>
      <w:tr w:rsidR="00680400" w:rsidRPr="00F1523C" w14:paraId="3F522A36"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A7B60F" w14:textId="49A9883D"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30</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annual Conference of the Parties to the United Nations Framework Convention on Climate Change</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00588F" w14:textId="153889AE" w:rsidR="00680400"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 xml:space="preserve">Q4 </w:t>
            </w:r>
            <w:r w:rsidRPr="00F1523C">
              <w:rPr>
                <w:rFonts w:ascii="Times New Roman" w:eastAsia="Times New Roman" w:hAnsi="Times New Roman" w:cs="Times New Roman"/>
              </w:rPr>
              <w:t>20</w:t>
            </w:r>
            <w:r>
              <w:rPr>
                <w:rFonts w:ascii="Times New Roman" w:eastAsia="Times New Roman" w:hAnsi="Times New Roman" w:cs="Times New Roman"/>
              </w:rPr>
              <w:t>25</w:t>
            </w:r>
          </w:p>
        </w:tc>
      </w:tr>
      <w:tr w:rsidR="00680400" w:rsidRPr="00F1523C" w14:paraId="46FE2B7E"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84D407" w14:textId="406A2BF2"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7</w:t>
            </w:r>
            <w:r w:rsidRPr="007D5CA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7D5CA9">
              <w:rPr>
                <w:rFonts w:ascii="Times New Roman" w:eastAsia="Times New Roman" w:hAnsi="Times New Roman" w:cs="Times New Roman"/>
              </w:rPr>
              <w:t>session of the United Nations Environment Assembly</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C6EA9C" w14:textId="7C597C37"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2025</w:t>
            </w:r>
          </w:p>
        </w:tc>
      </w:tr>
      <w:tr w:rsidR="00680400" w:rsidRPr="00F1523C" w14:paraId="150B4896" w14:textId="77777777" w:rsidTr="00F85ACF">
        <w:tc>
          <w:tcPr>
            <w:tcW w:w="3207"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B02818" w14:textId="59EA54D5"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7</w:t>
            </w:r>
            <w:r w:rsidRPr="00CF40B6">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Pr="00F1523C">
              <w:rPr>
                <w:rFonts w:ascii="Times New Roman" w:eastAsia="Times New Roman" w:hAnsi="Times New Roman" w:cs="Times New Roman"/>
              </w:rPr>
              <w:t>session of the Meeting of the Parties of the Protocol on Water and Health</w:t>
            </w:r>
          </w:p>
        </w:tc>
        <w:tc>
          <w:tcPr>
            <w:tcW w:w="1793"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FECAFA" w14:textId="1A0A3ED7" w:rsidR="00680400" w:rsidRPr="00F1523C" w:rsidRDefault="00680400" w:rsidP="00680400">
            <w:pPr>
              <w:spacing w:before="60" w:after="60"/>
              <w:rPr>
                <w:rFonts w:ascii="Times New Roman" w:eastAsia="Times New Roman" w:hAnsi="Times New Roman" w:cs="Times New Roman"/>
              </w:rPr>
            </w:pPr>
            <w:r>
              <w:rPr>
                <w:rFonts w:ascii="Times New Roman" w:eastAsia="Times New Roman" w:hAnsi="Times New Roman" w:cs="Times New Roman"/>
              </w:rPr>
              <w:t>2025</w:t>
            </w:r>
          </w:p>
        </w:tc>
      </w:tr>
    </w:tbl>
    <w:p w14:paraId="51EEC9D5" w14:textId="096E5E99" w:rsidR="00F85ACF" w:rsidRPr="00F1523C" w:rsidRDefault="00F1523C" w:rsidP="00F1523C">
      <w:pPr>
        <w:spacing w:before="120" w:after="120" w:line="244" w:lineRule="auto"/>
        <w:jc w:val="both"/>
        <w:rPr>
          <w:rFonts w:ascii="Times New Roman" w:eastAsia="SimSun" w:hAnsi="Times New Roman" w:cs="Times New Roman"/>
          <w:b/>
          <w:bCs/>
          <w:i/>
          <w:iCs/>
          <w:sz w:val="22"/>
          <w:szCs w:val="22"/>
          <w:lang w:val="en-GB"/>
        </w:rPr>
      </w:pPr>
      <w:r w:rsidRPr="00F1523C">
        <w:rPr>
          <w:rFonts w:ascii="Times New Roman" w:eastAsia="SimSun" w:hAnsi="Times New Roman" w:cs="Times New Roman"/>
          <w:b/>
          <w:bCs/>
          <w:i/>
          <w:iCs/>
          <w:sz w:val="22"/>
          <w:szCs w:val="22"/>
          <w:lang w:val="en-GB"/>
        </w:rPr>
        <w:t xml:space="preserve">Notes: </w:t>
      </w:r>
    </w:p>
    <w:p w14:paraId="4B428402" w14:textId="6D16E3B7" w:rsidR="00F1523C" w:rsidRPr="00F1523C" w:rsidRDefault="00F1523C" w:rsidP="00F1523C">
      <w:pPr>
        <w:spacing w:before="120" w:after="120" w:line="244" w:lineRule="auto"/>
        <w:jc w:val="both"/>
        <w:rPr>
          <w:rFonts w:ascii="Times New Roman" w:eastAsia="SimSun" w:hAnsi="Times New Roman" w:cs="Times New Roman"/>
          <w:i/>
          <w:iCs/>
          <w:sz w:val="22"/>
          <w:szCs w:val="22"/>
          <w:lang w:val="en-GB"/>
        </w:rPr>
      </w:pPr>
      <w:r w:rsidRPr="00F1523C">
        <w:rPr>
          <w:rFonts w:ascii="Times New Roman" w:eastAsia="SimSun" w:hAnsi="Times New Roman" w:cs="Times New Roman"/>
          <w:i/>
          <w:iCs/>
          <w:sz w:val="22"/>
          <w:szCs w:val="22"/>
          <w:lang w:val="en-GB"/>
        </w:rPr>
        <w:t xml:space="preserve">The list of provisionally planned environment and health activities of relevance to the EHTF in </w:t>
      </w:r>
      <w:r w:rsidR="007D5CA9">
        <w:rPr>
          <w:rFonts w:ascii="Times New Roman" w:eastAsia="SimSun" w:hAnsi="Times New Roman" w:cs="Times New Roman"/>
          <w:i/>
          <w:iCs/>
          <w:sz w:val="22"/>
          <w:szCs w:val="22"/>
          <w:lang w:val="en-GB"/>
        </w:rPr>
        <w:t xml:space="preserve">the second half of </w:t>
      </w:r>
      <w:r w:rsidRPr="00F1523C">
        <w:rPr>
          <w:rFonts w:ascii="Times New Roman" w:eastAsia="SimSun" w:hAnsi="Times New Roman" w:cs="Times New Roman"/>
          <w:i/>
          <w:iCs/>
          <w:sz w:val="22"/>
          <w:szCs w:val="22"/>
          <w:lang w:val="en-GB"/>
        </w:rPr>
        <w:t>2024 and 2025 is a “living document</w:t>
      </w:r>
      <w:proofErr w:type="gramStart"/>
      <w:r w:rsidRPr="00F1523C">
        <w:rPr>
          <w:rFonts w:ascii="Times New Roman" w:eastAsia="SimSun" w:hAnsi="Times New Roman" w:cs="Times New Roman"/>
          <w:i/>
          <w:iCs/>
          <w:sz w:val="22"/>
          <w:szCs w:val="22"/>
          <w:lang w:val="en-GB"/>
        </w:rPr>
        <w:t>”, and</w:t>
      </w:r>
      <w:proofErr w:type="gramEnd"/>
      <w:r w:rsidRPr="00F1523C">
        <w:rPr>
          <w:rFonts w:ascii="Times New Roman" w:eastAsia="SimSun" w:hAnsi="Times New Roman" w:cs="Times New Roman"/>
          <w:i/>
          <w:iCs/>
          <w:sz w:val="22"/>
          <w:szCs w:val="22"/>
          <w:lang w:val="en-GB"/>
        </w:rPr>
        <w:t xml:space="preserve"> is open to updates as more information becomes available.</w:t>
      </w:r>
    </w:p>
    <w:p w14:paraId="51CF1ACA" w14:textId="77777777" w:rsidR="00F1523C" w:rsidRDefault="00F1523C" w:rsidP="00F1523C">
      <w:pPr>
        <w:spacing w:before="120" w:after="120" w:line="244" w:lineRule="auto"/>
        <w:jc w:val="both"/>
        <w:rPr>
          <w:rFonts w:ascii="Times New Roman" w:eastAsia="SimSun" w:hAnsi="Times New Roman" w:cs="Times New Roman"/>
          <w:i/>
          <w:iCs/>
          <w:sz w:val="22"/>
          <w:szCs w:val="22"/>
          <w:lang w:val="en-GB"/>
        </w:rPr>
      </w:pPr>
      <w:r w:rsidRPr="00F1523C">
        <w:rPr>
          <w:rFonts w:ascii="Times New Roman" w:eastAsia="SimSun" w:hAnsi="Times New Roman" w:cs="Times New Roman"/>
          <w:i/>
          <w:iCs/>
          <w:sz w:val="22"/>
          <w:szCs w:val="22"/>
          <w:lang w:val="en-GB"/>
        </w:rPr>
        <w:t xml:space="preserve">Dates for the Bonn Dialogues for Environment and Health are a subject for </w:t>
      </w:r>
      <w:proofErr w:type="gramStart"/>
      <w:r w:rsidRPr="00F1523C">
        <w:rPr>
          <w:rFonts w:ascii="Times New Roman" w:eastAsia="SimSun" w:hAnsi="Times New Roman" w:cs="Times New Roman"/>
          <w:i/>
          <w:iCs/>
          <w:sz w:val="22"/>
          <w:szCs w:val="22"/>
          <w:lang w:val="en-GB"/>
        </w:rPr>
        <w:t>discussion, once</w:t>
      </w:r>
      <w:proofErr w:type="gramEnd"/>
      <w:r w:rsidRPr="00F1523C">
        <w:rPr>
          <w:rFonts w:ascii="Times New Roman" w:eastAsia="SimSun" w:hAnsi="Times New Roman" w:cs="Times New Roman"/>
          <w:i/>
          <w:iCs/>
          <w:sz w:val="22"/>
          <w:szCs w:val="22"/>
          <w:lang w:val="en-GB"/>
        </w:rPr>
        <w:t xml:space="preserve"> more information becomes available.</w:t>
      </w:r>
    </w:p>
    <w:p w14:paraId="1546D674" w14:textId="77777777" w:rsidR="007D5CA9" w:rsidRPr="00F1523C" w:rsidRDefault="007D5CA9" w:rsidP="007D5CA9">
      <w:pPr>
        <w:spacing w:before="120" w:after="120" w:line="244" w:lineRule="auto"/>
        <w:jc w:val="both"/>
        <w:rPr>
          <w:rFonts w:ascii="Times New Roman" w:eastAsia="Times New Roman" w:hAnsi="Times New Roman" w:cs="Times New Roman"/>
          <w:i/>
          <w:iCs/>
          <w:sz w:val="22"/>
          <w:szCs w:val="22"/>
          <w:lang w:val="en-GB"/>
        </w:rPr>
      </w:pPr>
      <w:proofErr w:type="spellStart"/>
      <w:r w:rsidRPr="00F1523C">
        <w:rPr>
          <w:rFonts w:ascii="Times New Roman" w:eastAsia="Times New Roman" w:hAnsi="Times New Roman" w:cs="Times New Roman"/>
          <w:i/>
          <w:iCs/>
          <w:sz w:val="22"/>
          <w:szCs w:val="22"/>
          <w:lang w:val="en-GB"/>
        </w:rPr>
        <w:t>Color</w:t>
      </w:r>
      <w:proofErr w:type="spellEnd"/>
      <w:r w:rsidRPr="00F1523C">
        <w:rPr>
          <w:rFonts w:ascii="Times New Roman" w:eastAsia="Times New Roman" w:hAnsi="Times New Roman" w:cs="Times New Roman"/>
          <w:i/>
          <w:iCs/>
          <w:sz w:val="22"/>
          <w:szCs w:val="22"/>
          <w:lang w:val="en-GB"/>
        </w:rPr>
        <w:t xml:space="preserve"> coding:</w:t>
      </w:r>
    </w:p>
    <w:tbl>
      <w:tblPr>
        <w:tblStyle w:val="TableGrid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551"/>
      </w:tblGrid>
      <w:tr w:rsidR="007D5CA9" w:rsidRPr="00F1523C" w14:paraId="0D0CD665" w14:textId="77777777" w:rsidTr="007D5CA9">
        <w:tc>
          <w:tcPr>
            <w:tcW w:w="567" w:type="dxa"/>
            <w:shd w:val="clear" w:color="auto" w:fill="DEEAF6" w:themeFill="accent1" w:themeFillTint="33"/>
          </w:tcPr>
          <w:p w14:paraId="599DE260" w14:textId="77777777" w:rsidR="007D5CA9" w:rsidRPr="00F1523C" w:rsidRDefault="007D5CA9" w:rsidP="00DF069E">
            <w:pPr>
              <w:spacing w:before="60" w:after="60" w:line="245" w:lineRule="auto"/>
              <w:jc w:val="both"/>
              <w:rPr>
                <w:rFonts w:ascii="Times New Roman" w:eastAsia="Times New Roman" w:hAnsi="Times New Roman" w:cs="Times New Roman"/>
                <w:i/>
              </w:rPr>
            </w:pPr>
          </w:p>
        </w:tc>
        <w:tc>
          <w:tcPr>
            <w:tcW w:w="7551" w:type="dxa"/>
            <w:hideMark/>
          </w:tcPr>
          <w:p w14:paraId="19026C99" w14:textId="77777777" w:rsidR="007D5CA9" w:rsidRPr="00F1523C" w:rsidRDefault="007D5CA9" w:rsidP="00DF069E">
            <w:pPr>
              <w:spacing w:before="60" w:after="60" w:line="245" w:lineRule="auto"/>
              <w:rPr>
                <w:rFonts w:ascii="Times New Roman" w:eastAsia="Times New Roman" w:hAnsi="Times New Roman" w:cs="Times New Roman"/>
                <w:i/>
                <w:szCs w:val="20"/>
              </w:rPr>
            </w:pPr>
            <w:r w:rsidRPr="00F1523C">
              <w:rPr>
                <w:rFonts w:ascii="Times New Roman" w:eastAsia="Times New Roman" w:hAnsi="Times New Roman" w:cs="Times New Roman"/>
                <w:i/>
                <w:szCs w:val="20"/>
              </w:rPr>
              <w:t>Meetings of the EHTF and its Bureau</w:t>
            </w:r>
          </w:p>
        </w:tc>
      </w:tr>
      <w:tr w:rsidR="007D5CA9" w:rsidRPr="00F1523C" w14:paraId="65F662D8" w14:textId="77777777" w:rsidTr="007D5CA9">
        <w:tc>
          <w:tcPr>
            <w:tcW w:w="567" w:type="dxa"/>
            <w:shd w:val="clear" w:color="auto" w:fill="F2F2F2"/>
          </w:tcPr>
          <w:p w14:paraId="408985A2"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hideMark/>
          </w:tcPr>
          <w:p w14:paraId="76D86061" w14:textId="4E4298E6" w:rsidR="007D5CA9" w:rsidRPr="00F1523C" w:rsidRDefault="007D5CA9" w:rsidP="00DF069E">
            <w:pPr>
              <w:spacing w:before="60" w:after="60" w:line="245" w:lineRule="auto"/>
              <w:rPr>
                <w:rFonts w:ascii="Times New Roman" w:eastAsia="Times New Roman" w:hAnsi="Times New Roman" w:cs="Times New Roman"/>
                <w:i/>
                <w:iCs/>
              </w:rPr>
            </w:pPr>
            <w:r w:rsidRPr="00F1523C">
              <w:rPr>
                <w:rFonts w:ascii="Times New Roman" w:eastAsia="Times New Roman" w:hAnsi="Times New Roman" w:cs="Times New Roman"/>
                <w:i/>
                <w:iCs/>
              </w:rPr>
              <w:t>Meeting</w:t>
            </w:r>
            <w:r>
              <w:rPr>
                <w:rFonts w:ascii="Times New Roman" w:eastAsia="Times New Roman" w:hAnsi="Times New Roman" w:cs="Times New Roman"/>
                <w:i/>
                <w:iCs/>
              </w:rPr>
              <w:t>s</w:t>
            </w:r>
            <w:r w:rsidRPr="00F1523C">
              <w:rPr>
                <w:rFonts w:ascii="Times New Roman" w:eastAsia="Times New Roman" w:hAnsi="Times New Roman" w:cs="Times New Roman"/>
                <w:i/>
                <w:iCs/>
              </w:rPr>
              <w:t xml:space="preserve"> of the </w:t>
            </w:r>
            <w:r>
              <w:rPr>
                <w:rFonts w:ascii="Times New Roman" w:eastAsia="Times New Roman" w:hAnsi="Times New Roman" w:cs="Times New Roman"/>
                <w:i/>
                <w:iCs/>
              </w:rPr>
              <w:t>Working Group on Health in Climate Change</w:t>
            </w:r>
          </w:p>
        </w:tc>
      </w:tr>
      <w:tr w:rsidR="007D5CA9" w:rsidRPr="00F1523C" w14:paraId="568B6ADA" w14:textId="77777777" w:rsidTr="007D5CA9">
        <w:tc>
          <w:tcPr>
            <w:tcW w:w="567" w:type="dxa"/>
            <w:shd w:val="clear" w:color="auto" w:fill="A8D08D" w:themeFill="accent6" w:themeFillTint="99"/>
          </w:tcPr>
          <w:p w14:paraId="383AF12E"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tcPr>
          <w:p w14:paraId="48433D17" w14:textId="77777777" w:rsidR="007D5CA9" w:rsidRPr="00F1523C" w:rsidRDefault="007D5CA9" w:rsidP="00DF069E">
            <w:pPr>
              <w:spacing w:before="60" w:after="60" w:line="245" w:lineRule="auto"/>
              <w:rPr>
                <w:rFonts w:ascii="Times New Roman" w:eastAsia="Times New Roman" w:hAnsi="Times New Roman" w:cs="Times New Roman"/>
                <w:i/>
                <w:iCs/>
              </w:rPr>
            </w:pPr>
            <w:r>
              <w:rPr>
                <w:rFonts w:ascii="Times New Roman" w:eastAsia="Times New Roman" w:hAnsi="Times New Roman" w:cs="Times New Roman"/>
                <w:i/>
                <w:iCs/>
              </w:rPr>
              <w:t>Bonn Dialogues on Environment and Health</w:t>
            </w:r>
          </w:p>
        </w:tc>
      </w:tr>
      <w:tr w:rsidR="007D5CA9" w:rsidRPr="00F1523C" w14:paraId="23885999" w14:textId="77777777" w:rsidTr="007D5CA9">
        <w:tc>
          <w:tcPr>
            <w:tcW w:w="567" w:type="dxa"/>
            <w:shd w:val="clear" w:color="auto" w:fill="F7CAAC" w:themeFill="accent2" w:themeFillTint="66"/>
          </w:tcPr>
          <w:p w14:paraId="3D8F22AF"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tcPr>
          <w:p w14:paraId="37326639" w14:textId="77777777" w:rsidR="007D5CA9" w:rsidRDefault="007D5CA9" w:rsidP="00DF069E">
            <w:pPr>
              <w:spacing w:before="60" w:after="60" w:line="245" w:lineRule="auto"/>
              <w:rPr>
                <w:rFonts w:ascii="Times New Roman" w:eastAsia="Times New Roman" w:hAnsi="Times New Roman" w:cs="Times New Roman"/>
                <w:i/>
                <w:iCs/>
              </w:rPr>
            </w:pPr>
            <w:r>
              <w:rPr>
                <w:rFonts w:ascii="Times New Roman" w:eastAsia="Times New Roman" w:hAnsi="Times New Roman" w:cs="Times New Roman"/>
                <w:i/>
                <w:iCs/>
              </w:rPr>
              <w:t>Meetings of the EHP Partnerships</w:t>
            </w:r>
          </w:p>
        </w:tc>
      </w:tr>
      <w:tr w:rsidR="007D5CA9" w:rsidRPr="00F1523C" w14:paraId="507484D0" w14:textId="77777777" w:rsidTr="007D5CA9">
        <w:tc>
          <w:tcPr>
            <w:tcW w:w="567" w:type="dxa"/>
            <w:shd w:val="clear" w:color="auto" w:fill="FFF2CC" w:themeFill="accent4" w:themeFillTint="33"/>
          </w:tcPr>
          <w:p w14:paraId="40E20199"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hideMark/>
          </w:tcPr>
          <w:p w14:paraId="39641B35" w14:textId="77777777" w:rsidR="007D5CA9" w:rsidRPr="00F1523C" w:rsidRDefault="007D5CA9" w:rsidP="00DF069E">
            <w:pPr>
              <w:spacing w:before="60" w:after="60" w:line="245" w:lineRule="auto"/>
              <w:rPr>
                <w:rFonts w:ascii="Times New Roman" w:eastAsia="Times New Roman" w:hAnsi="Times New Roman" w:cs="Times New Roman"/>
                <w:i/>
                <w:szCs w:val="20"/>
              </w:rPr>
            </w:pPr>
            <w:r w:rsidRPr="00F1523C">
              <w:rPr>
                <w:rFonts w:ascii="Times New Roman" w:eastAsia="Times New Roman" w:hAnsi="Times New Roman" w:cs="Times New Roman"/>
                <w:i/>
                <w:szCs w:val="20"/>
              </w:rPr>
              <w:t>Meetings of the governing bodies</w:t>
            </w:r>
          </w:p>
        </w:tc>
      </w:tr>
      <w:tr w:rsidR="007D5CA9" w:rsidRPr="00F1523C" w14:paraId="79F6047B" w14:textId="77777777" w:rsidTr="007D5CA9">
        <w:tc>
          <w:tcPr>
            <w:tcW w:w="567" w:type="dxa"/>
            <w:shd w:val="clear" w:color="auto" w:fill="E2EFD9"/>
          </w:tcPr>
          <w:p w14:paraId="2118011F"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hideMark/>
          </w:tcPr>
          <w:p w14:paraId="30EFC8C5" w14:textId="77777777" w:rsidR="007D5CA9" w:rsidRPr="00F1523C" w:rsidRDefault="007D5CA9" w:rsidP="00DF069E">
            <w:pPr>
              <w:spacing w:before="60" w:after="60" w:line="245" w:lineRule="auto"/>
              <w:rPr>
                <w:rFonts w:ascii="Times New Roman" w:eastAsia="Times New Roman" w:hAnsi="Times New Roman" w:cs="Times New Roman"/>
                <w:i/>
                <w:szCs w:val="20"/>
              </w:rPr>
            </w:pPr>
            <w:r w:rsidRPr="00F1523C">
              <w:rPr>
                <w:rFonts w:ascii="Times New Roman" w:eastAsia="Times New Roman" w:hAnsi="Times New Roman" w:cs="Times New Roman"/>
                <w:i/>
                <w:szCs w:val="20"/>
              </w:rPr>
              <w:t>Consultations with stakeholders/sub-regional consultations/relevant processes</w:t>
            </w:r>
          </w:p>
        </w:tc>
      </w:tr>
      <w:tr w:rsidR="007D5CA9" w:rsidRPr="00F1523C" w14:paraId="67DF48AB" w14:textId="77777777" w:rsidTr="007D5CA9">
        <w:tc>
          <w:tcPr>
            <w:tcW w:w="567" w:type="dxa"/>
            <w:shd w:val="clear" w:color="auto" w:fill="B4C6E7"/>
          </w:tcPr>
          <w:p w14:paraId="6E16D77F" w14:textId="77777777" w:rsidR="007D5CA9" w:rsidRPr="00F1523C" w:rsidRDefault="007D5CA9" w:rsidP="00DF069E">
            <w:pPr>
              <w:spacing w:before="60" w:after="60" w:line="245" w:lineRule="auto"/>
              <w:jc w:val="both"/>
              <w:rPr>
                <w:rFonts w:ascii="Times New Roman" w:eastAsia="Times New Roman" w:hAnsi="Times New Roman" w:cs="Times New Roman"/>
                <w:i/>
                <w:szCs w:val="20"/>
              </w:rPr>
            </w:pPr>
          </w:p>
        </w:tc>
        <w:tc>
          <w:tcPr>
            <w:tcW w:w="7551" w:type="dxa"/>
            <w:hideMark/>
          </w:tcPr>
          <w:p w14:paraId="7D5603DE" w14:textId="77777777" w:rsidR="007D5CA9" w:rsidRPr="00F1523C" w:rsidRDefault="007D5CA9" w:rsidP="00DF069E">
            <w:pPr>
              <w:spacing w:before="60" w:after="60" w:line="245" w:lineRule="auto"/>
              <w:rPr>
                <w:rFonts w:ascii="Times New Roman" w:eastAsia="Times New Roman" w:hAnsi="Times New Roman" w:cs="Times New Roman"/>
                <w:i/>
                <w:iCs/>
              </w:rPr>
            </w:pPr>
            <w:r w:rsidRPr="00F1523C">
              <w:rPr>
                <w:rFonts w:ascii="Times New Roman" w:eastAsia="Times New Roman" w:hAnsi="Times New Roman" w:cs="Times New Roman"/>
                <w:i/>
                <w:iCs/>
              </w:rPr>
              <w:t>UNECE Environment for Europe Process meetings</w:t>
            </w:r>
          </w:p>
        </w:tc>
      </w:tr>
    </w:tbl>
    <w:p w14:paraId="29CF6AF4" w14:textId="782C08EC" w:rsidR="007D5CA9" w:rsidRPr="00F1523C" w:rsidRDefault="007D5CA9" w:rsidP="00F85ACF">
      <w:pPr>
        <w:spacing w:before="120" w:after="120" w:line="244" w:lineRule="auto"/>
        <w:jc w:val="both"/>
        <w:rPr>
          <w:rFonts w:ascii="Times New Roman" w:eastAsia="SimSun" w:hAnsi="Times New Roman" w:cs="Times New Roman"/>
          <w:i/>
          <w:iCs/>
          <w:sz w:val="22"/>
          <w:szCs w:val="22"/>
          <w:lang w:val="en-GB"/>
        </w:rPr>
      </w:pPr>
    </w:p>
    <w:sectPr w:rsidR="007D5CA9" w:rsidRPr="00F1523C" w:rsidSect="00EC2A92">
      <w:pgSz w:w="11907" w:h="16840" w:code="9"/>
      <w:pgMar w:top="1134" w:right="1276" w:bottom="964" w:left="1276" w:header="567"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3C5C0" w14:textId="77777777" w:rsidR="00EC2A92" w:rsidRDefault="00EC2A92">
      <w:r>
        <w:separator/>
      </w:r>
    </w:p>
  </w:endnote>
  <w:endnote w:type="continuationSeparator" w:id="0">
    <w:p w14:paraId="019B0BEA" w14:textId="77777777" w:rsidR="00EC2A92" w:rsidRDefault="00EC2A92">
      <w:r>
        <w:continuationSeparator/>
      </w:r>
    </w:p>
  </w:endnote>
  <w:endnote w:type="continuationNotice" w:id="1">
    <w:p w14:paraId="0382E5AB" w14:textId="77777777" w:rsidR="00EC2A92" w:rsidRDefault="00EC2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6A2B8" w14:textId="77777777" w:rsidR="00EC2A92" w:rsidRDefault="00EC2A92">
      <w:r>
        <w:separator/>
      </w:r>
    </w:p>
  </w:footnote>
  <w:footnote w:type="continuationSeparator" w:id="0">
    <w:p w14:paraId="3AA4E40A" w14:textId="77777777" w:rsidR="00EC2A92" w:rsidRDefault="00EC2A92">
      <w:r>
        <w:continuationSeparator/>
      </w:r>
    </w:p>
  </w:footnote>
  <w:footnote w:type="continuationNotice" w:id="1">
    <w:p w14:paraId="70B8B645" w14:textId="77777777" w:rsidR="00EC2A92" w:rsidRDefault="00EC2A92">
      <w:pPr>
        <w:spacing w:after="0" w:line="240" w:lineRule="auto"/>
      </w:pPr>
    </w:p>
  </w:footnote>
  <w:footnote w:id="2">
    <w:p w14:paraId="6EFE229B" w14:textId="46E32E68" w:rsidR="00C66B6E" w:rsidRPr="00C66B6E" w:rsidRDefault="00C66B6E">
      <w:pPr>
        <w:pStyle w:val="FootnoteText"/>
        <w:rPr>
          <w:lang w:val="en-US"/>
        </w:rPr>
      </w:pPr>
      <w:r>
        <w:rPr>
          <w:rStyle w:val="FootnoteReference"/>
        </w:rPr>
        <w:footnoteRef/>
      </w:r>
      <w:r>
        <w:t xml:space="preserve"> </w:t>
      </w:r>
      <w:r w:rsidRPr="00C66B6E">
        <w:t>Transforming our world: the 2030 Agenda for Sustainable Development</w:t>
      </w:r>
      <w:r>
        <w:t>. New York: United Nations; 2015 (</w:t>
      </w:r>
      <w:hyperlink r:id="rId1" w:history="1">
        <w:r w:rsidRPr="00354493">
          <w:rPr>
            <w:rStyle w:val="Hyperlink"/>
          </w:rPr>
          <w:t>https://sdgs.un.org/2030agenda</w:t>
        </w:r>
      </w:hyperlink>
      <w:r>
        <w:t xml:space="preserve">, accessed on </w:t>
      </w:r>
      <w:r w:rsidR="00A7218A">
        <w:t xml:space="preserve">15 April </w:t>
      </w:r>
      <w:r w:rsidR="006A2D5A">
        <w:t>2024</w:t>
      </w:r>
      <w:r>
        <w:t>).</w:t>
      </w:r>
    </w:p>
  </w:footnote>
  <w:footnote w:id="3">
    <w:p w14:paraId="0F57CECB" w14:textId="5E37F50E" w:rsidR="002B0EB0" w:rsidRPr="00A861B5" w:rsidRDefault="002B0EB0" w:rsidP="002B0EB0">
      <w:pPr>
        <w:pStyle w:val="FootnoteText"/>
        <w:jc w:val="both"/>
        <w:rPr>
          <w:lang w:val="en-US"/>
        </w:rPr>
      </w:pPr>
      <w:r w:rsidRPr="007827D5">
        <w:rPr>
          <w:rStyle w:val="FootnoteReference"/>
          <w:rFonts w:eastAsiaTheme="minorEastAsia"/>
        </w:rPr>
        <w:footnoteRef/>
      </w:r>
      <w:r>
        <w:t xml:space="preserve"> </w:t>
      </w:r>
      <w:r w:rsidRPr="00A861B5">
        <w:t xml:space="preserve">WHO global strategy on health, </w:t>
      </w:r>
      <w:proofErr w:type="gramStart"/>
      <w:r w:rsidRPr="00A861B5">
        <w:t>environment</w:t>
      </w:r>
      <w:proofErr w:type="gramEnd"/>
      <w:r w:rsidRPr="00A861B5">
        <w:t xml:space="preserve"> and climate change: the transformation needed to improve lives and well-being sustainably through healthy environments</w:t>
      </w:r>
      <w:r>
        <w:t>. Geneva: World Health Organization; 20</w:t>
      </w:r>
      <w:r w:rsidR="00C66B6E">
        <w:t>20</w:t>
      </w:r>
      <w:r>
        <w:t xml:space="preserve"> (</w:t>
      </w:r>
      <w:hyperlink r:id="rId2" w:history="1">
        <w:r w:rsidR="00C66B6E" w:rsidRPr="00354493">
          <w:rPr>
            <w:rStyle w:val="Hyperlink"/>
          </w:rPr>
          <w:t>https://iris.who.int/handle/10665/331959</w:t>
        </w:r>
      </w:hyperlink>
      <w:r>
        <w:t>,</w:t>
      </w:r>
      <w:r w:rsidR="00C66B6E">
        <w:t xml:space="preserve"> </w:t>
      </w:r>
      <w:r>
        <w:t xml:space="preserve">accessed </w:t>
      </w:r>
      <w:r w:rsidR="00C66B6E">
        <w:t xml:space="preserve">on </w:t>
      </w:r>
      <w:r w:rsidR="00A7218A">
        <w:t xml:space="preserve">15 April </w:t>
      </w:r>
      <w:r w:rsidR="006A2D5A" w:rsidRPr="006A2D5A">
        <w:t>2024</w:t>
      </w:r>
      <w:r>
        <w:t>).</w:t>
      </w:r>
    </w:p>
  </w:footnote>
  <w:footnote w:id="4">
    <w:p w14:paraId="36A4FD2A" w14:textId="40B30AB8" w:rsidR="002B0EB0" w:rsidRPr="00B7223E" w:rsidRDefault="002B0EB0" w:rsidP="002B0EB0">
      <w:pPr>
        <w:pStyle w:val="FootnoteText"/>
        <w:jc w:val="both"/>
        <w:rPr>
          <w:lang w:val="en-US"/>
        </w:rPr>
      </w:pPr>
      <w:r>
        <w:rPr>
          <w:rStyle w:val="FootnoteReference"/>
          <w:rFonts w:eastAsiaTheme="minorEastAsia"/>
        </w:rPr>
        <w:footnoteRef/>
      </w:r>
      <w:r>
        <w:t xml:space="preserve"> </w:t>
      </w:r>
      <w:r w:rsidR="00C66B6E" w:rsidRPr="00C66B6E">
        <w:t>Zero regrets: scaling up action on climate change mitigation and adaptation for health in the WHO European Region, second edition. Key messages from the Working Group on Health in Climate Change</w:t>
      </w:r>
      <w:r>
        <w:t>. Copenhagen: WHO Regional Office for Europe; 202</w:t>
      </w:r>
      <w:r w:rsidR="00C66B6E">
        <w:t>3</w:t>
      </w:r>
      <w:r>
        <w:t xml:space="preserve"> (</w:t>
      </w:r>
      <w:hyperlink r:id="rId3" w:history="1">
        <w:r w:rsidR="00C66B6E" w:rsidRPr="00354493">
          <w:rPr>
            <w:rStyle w:val="Hyperlink"/>
          </w:rPr>
          <w:t>https://iris.who.int/handle/10665/368161</w:t>
        </w:r>
      </w:hyperlink>
      <w:r>
        <w:t>,</w:t>
      </w:r>
      <w:r w:rsidR="00C66B6E">
        <w:t xml:space="preserve"> </w:t>
      </w:r>
      <w:r>
        <w:t>accessed</w:t>
      </w:r>
      <w:r>
        <w:rPr>
          <w:lang w:val="en-US"/>
        </w:rPr>
        <w:t xml:space="preserve"> </w:t>
      </w:r>
      <w:r w:rsidR="00C66B6E">
        <w:t xml:space="preserve">on </w:t>
      </w:r>
      <w:r w:rsidR="00A7218A">
        <w:t xml:space="preserve">15 April </w:t>
      </w:r>
      <w:r w:rsidR="006A2D5A" w:rsidRPr="006A2D5A">
        <w:t>2024</w:t>
      </w:r>
      <w:r>
        <w:t>).</w:t>
      </w:r>
    </w:p>
  </w:footnote>
  <w:footnote w:id="5">
    <w:p w14:paraId="72910FAB" w14:textId="14C98FDF" w:rsidR="002B0EB0" w:rsidRPr="00655668" w:rsidRDefault="002B0EB0" w:rsidP="002B0EB0">
      <w:pPr>
        <w:pStyle w:val="FootnoteText"/>
        <w:jc w:val="both"/>
        <w:rPr>
          <w:lang w:val="en-US"/>
        </w:rPr>
      </w:pPr>
      <w:r w:rsidRPr="007827D5">
        <w:rPr>
          <w:rStyle w:val="FootnoteReference"/>
          <w:rFonts w:eastAsiaTheme="minorEastAsia"/>
        </w:rPr>
        <w:footnoteRef/>
      </w:r>
      <w:r>
        <w:t xml:space="preserve"> </w:t>
      </w:r>
      <w:r w:rsidR="008A7E03">
        <w:t>Fourteenth</w:t>
      </w:r>
      <w:r w:rsidRPr="00655668">
        <w:t xml:space="preserve"> general programme of work, 20</w:t>
      </w:r>
      <w:r w:rsidR="008A7E03">
        <w:t>2</w:t>
      </w:r>
      <w:r w:rsidR="006A2D5A">
        <w:t>5</w:t>
      </w:r>
      <w:r w:rsidRPr="00655668">
        <w:t>−202</w:t>
      </w:r>
      <w:r w:rsidR="008A7E03">
        <w:t>8</w:t>
      </w:r>
      <w:r w:rsidR="00C23C0D">
        <w:t xml:space="preserve"> (</w:t>
      </w:r>
      <w:r w:rsidR="00C23C0D" w:rsidRPr="00C23C0D">
        <w:t>currently under development</w:t>
      </w:r>
      <w:r w:rsidR="00E549CF">
        <w:t xml:space="preserve">, </w:t>
      </w:r>
      <w:r w:rsidR="008A7E03">
        <w:t xml:space="preserve"> </w:t>
      </w:r>
      <w:hyperlink r:id="rId4" w:history="1">
        <w:r w:rsidR="00E549CF" w:rsidRPr="00E549CF">
          <w:rPr>
            <w:rStyle w:val="Hyperlink"/>
          </w:rPr>
          <w:t>https://www.who.int/about/general-programme-of-work/fourteenth</w:t>
        </w:r>
      </w:hyperlink>
      <w:r w:rsidR="006A2D5A">
        <w:t xml:space="preserve">, accessed on </w:t>
      </w:r>
      <w:r w:rsidR="00A7218A">
        <w:t xml:space="preserve">15 April </w:t>
      </w:r>
      <w:r w:rsidR="006A2D5A" w:rsidRPr="006A2D5A">
        <w:t>2024</w:t>
      </w:r>
      <w:r w:rsidR="008A7E03">
        <w:t>)</w:t>
      </w:r>
      <w:r w:rsidRPr="00655668">
        <w:t>.</w:t>
      </w:r>
    </w:p>
  </w:footnote>
  <w:footnote w:id="6">
    <w:p w14:paraId="4213040A" w14:textId="6C3765B3" w:rsidR="002B0EB0" w:rsidRDefault="002B0EB0" w:rsidP="002B0EB0">
      <w:pPr>
        <w:pStyle w:val="FootnoteText"/>
      </w:pPr>
      <w:r w:rsidRPr="3FB04AB1">
        <w:rPr>
          <w:rStyle w:val="FootnoteReference"/>
          <w:rFonts w:eastAsiaTheme="minorEastAsia"/>
        </w:rPr>
        <w:footnoteRef/>
      </w:r>
      <w:r>
        <w:t xml:space="preserve"> European Programme of Work, 2020–2025 – “United Action for Better Health in Europe”. Copenhagen: WHO Regional Office for Europe; 2020 </w:t>
      </w:r>
      <w:r w:rsidR="008A7E03">
        <w:t>(</w:t>
      </w:r>
      <w:hyperlink r:id="rId5" w:history="1">
        <w:r w:rsidR="008A7E03" w:rsidRPr="00354493">
          <w:rPr>
            <w:rStyle w:val="Hyperlink"/>
          </w:rPr>
          <w:t>https://iris.who.int/handle/10665/344883</w:t>
        </w:r>
      </w:hyperlink>
      <w:r>
        <w:t>,</w:t>
      </w:r>
      <w:r w:rsidR="008A7E03">
        <w:t xml:space="preserve"> </w:t>
      </w:r>
      <w:r w:rsidR="006A2D5A">
        <w:t xml:space="preserve">accessed on </w:t>
      </w:r>
      <w:r w:rsidR="00A7218A">
        <w:t xml:space="preserve">15 April </w:t>
      </w:r>
      <w:r w:rsidR="006A2D5A" w:rsidRPr="006A2D5A">
        <w:t>2024</w:t>
      </w:r>
      <w:r>
        <w:t>).</w:t>
      </w:r>
    </w:p>
  </w:footnote>
  <w:footnote w:id="7">
    <w:p w14:paraId="174FDE48" w14:textId="14CCF85C" w:rsidR="008A7E03" w:rsidRPr="008A7E03" w:rsidRDefault="008A7E03">
      <w:pPr>
        <w:pStyle w:val="FootnoteText"/>
      </w:pPr>
      <w:r>
        <w:rPr>
          <w:rStyle w:val="FootnoteReference"/>
        </w:rPr>
        <w:footnoteRef/>
      </w:r>
      <w:r>
        <w:t xml:space="preserve"> The New Urban Agenda. New York: United Nations; 2017 (</w:t>
      </w:r>
      <w:hyperlink r:id="rId6" w:history="1">
        <w:r w:rsidRPr="00354493">
          <w:rPr>
            <w:rStyle w:val="Hyperlink"/>
          </w:rPr>
          <w:t>https://www.urbanagendaplatform.org/nua</w:t>
        </w:r>
      </w:hyperlink>
      <w:r>
        <w:t xml:space="preserve">, accessed on </w:t>
      </w:r>
      <w:r w:rsidR="006A2D5A">
        <w:t xml:space="preserve">accessed on </w:t>
      </w:r>
      <w:r w:rsidR="00A7218A">
        <w:t xml:space="preserve">15 April </w:t>
      </w:r>
      <w:r w:rsidR="006A2D5A" w:rsidRPr="006A2D5A">
        <w:t>2024</w:t>
      </w:r>
      <w:r>
        <w:t>).</w:t>
      </w:r>
    </w:p>
  </w:footnote>
  <w:footnote w:id="8">
    <w:p w14:paraId="6E8EC347" w14:textId="5CCA3D91" w:rsidR="002B0EB0" w:rsidRDefault="002B0EB0" w:rsidP="002B0EB0">
      <w:pPr>
        <w:pStyle w:val="FootnoteText"/>
      </w:pPr>
      <w:r w:rsidRPr="3FB04AB1">
        <w:rPr>
          <w:rStyle w:val="FootnoteReference"/>
          <w:rFonts w:eastAsiaTheme="minorEastAsia"/>
        </w:rPr>
        <w:footnoteRef/>
      </w:r>
      <w:r>
        <w:t xml:space="preserve"> European Green Deal. Brussels: European Commission, 2020 (</w:t>
      </w:r>
      <w:hyperlink r:id="rId7">
        <w:r w:rsidRPr="3FB04AB1">
          <w:rPr>
            <w:rStyle w:val="Hyperlink"/>
            <w:rFonts w:eastAsiaTheme="majorEastAsia"/>
          </w:rPr>
          <w:t>https://ec.europa.eu/info/strategy/priorities-2019-2024/european-green-deal_en</w:t>
        </w:r>
      </w:hyperlink>
      <w:r>
        <w:t xml:space="preserve">, </w:t>
      </w:r>
      <w:r w:rsidR="00A702B4">
        <w:t xml:space="preserve">accessed </w:t>
      </w:r>
      <w:r w:rsidR="006A2D5A">
        <w:t xml:space="preserve">on </w:t>
      </w:r>
      <w:r w:rsidR="00486626">
        <w:t xml:space="preserve">15 April </w:t>
      </w:r>
      <w:r w:rsidR="006A2D5A" w:rsidRPr="006A2D5A">
        <w:t>2024</w:t>
      </w:r>
      <w:r>
        <w:t>).</w:t>
      </w:r>
    </w:p>
  </w:footnote>
  <w:footnote w:id="9">
    <w:p w14:paraId="0832F0B4" w14:textId="4666F805" w:rsidR="00283F74" w:rsidRPr="007D4E1C" w:rsidRDefault="00283F74" w:rsidP="00283F74">
      <w:pPr>
        <w:pStyle w:val="FootnoteText"/>
        <w:jc w:val="both"/>
        <w:rPr>
          <w:lang w:val="en-US"/>
        </w:rPr>
      </w:pPr>
      <w:r>
        <w:rPr>
          <w:rStyle w:val="FootnoteReference"/>
        </w:rPr>
        <w:footnoteRef/>
      </w:r>
      <w:r>
        <w:t xml:space="preserve"> </w:t>
      </w:r>
      <w:r w:rsidRPr="007D4E1C">
        <w:t>How coronavirus disease has changed the environment and health landscape: a policy brief</w:t>
      </w:r>
      <w:r>
        <w:t xml:space="preserve">. Copenhagen: WHO </w:t>
      </w:r>
      <w:r w:rsidRPr="007D4E1C">
        <w:t>Regional Office for Europe</w:t>
      </w:r>
      <w:r>
        <w:t xml:space="preserve">; </w:t>
      </w:r>
      <w:r w:rsidRPr="007D4E1C">
        <w:t>2023</w:t>
      </w:r>
      <w:r>
        <w:t xml:space="preserve"> (</w:t>
      </w:r>
      <w:hyperlink r:id="rId8" w:history="1">
        <w:r w:rsidRPr="00354493">
          <w:rPr>
            <w:rStyle w:val="Hyperlink"/>
          </w:rPr>
          <w:t>https://iris.who.int/handle/10665/368164</w:t>
        </w:r>
      </w:hyperlink>
      <w:r>
        <w:t xml:space="preserve">, accessed </w:t>
      </w:r>
      <w:r w:rsidR="004E0F88" w:rsidRPr="004E0F88">
        <w:t xml:space="preserve">on </w:t>
      </w:r>
      <w:r w:rsidR="00486626">
        <w:t xml:space="preserve">15 April </w:t>
      </w:r>
      <w:r w:rsidR="004E0F88" w:rsidRPr="004E0F88">
        <w:t>2024</w:t>
      </w:r>
      <w:r>
        <w:t>).</w:t>
      </w:r>
    </w:p>
  </w:footnote>
  <w:footnote w:id="10">
    <w:p w14:paraId="67ABABDB" w14:textId="65D9A545" w:rsidR="00356EB3" w:rsidRPr="00356EB3" w:rsidRDefault="00356EB3">
      <w:pPr>
        <w:pStyle w:val="FootnoteText"/>
        <w:rPr>
          <w:lang w:val="en-US"/>
        </w:rPr>
      </w:pPr>
      <w:r>
        <w:rPr>
          <w:rStyle w:val="FootnoteReference"/>
        </w:rPr>
        <w:footnoteRef/>
      </w:r>
      <w:r w:rsidDel="0016063C">
        <w:t xml:space="preserve"> </w:t>
      </w:r>
      <w:r>
        <w:rPr>
          <w:lang w:val="en-US"/>
        </w:rPr>
        <w:t>14</w:t>
      </w:r>
      <w:r w:rsidRPr="00356EB3">
        <w:rPr>
          <w:vertAlign w:val="superscript"/>
          <w:lang w:val="en-US"/>
        </w:rPr>
        <w:t>th</w:t>
      </w:r>
      <w:r>
        <w:rPr>
          <w:lang w:val="en-US"/>
        </w:rPr>
        <w:t xml:space="preserve"> meeting of the EHTF </w:t>
      </w:r>
      <w:r w:rsidR="004E0F88">
        <w:rPr>
          <w:lang w:val="en-US"/>
        </w:rPr>
        <w:t>will be</w:t>
      </w:r>
      <w:r>
        <w:rPr>
          <w:lang w:val="en-US"/>
        </w:rPr>
        <w:t xml:space="preserve"> taking place in </w:t>
      </w:r>
      <w:r w:rsidR="00655BAA">
        <w:rPr>
          <w:lang w:val="en-US"/>
        </w:rPr>
        <w:t>Netherlands (Kingdom of the)</w:t>
      </w:r>
      <w:r>
        <w:rPr>
          <w:lang w:val="en-US"/>
        </w:rPr>
        <w:t xml:space="preserve"> on 26</w:t>
      </w:r>
      <w:r>
        <w:rPr>
          <w:rFonts w:ascii="Symbol" w:eastAsia="Symbol" w:hAnsi="Symbol" w:cs="Symbol"/>
          <w:lang w:val="en-US"/>
        </w:rPr>
        <w:t>-</w:t>
      </w:r>
      <w:r>
        <w:rPr>
          <w:lang w:val="en-US"/>
        </w:rPr>
        <w:t>27 June 2024</w:t>
      </w:r>
      <w:r w:rsidR="004E0F88">
        <w:rPr>
          <w:lang w:val="en-US"/>
        </w:rPr>
        <w:t>.</w:t>
      </w:r>
    </w:p>
  </w:footnote>
  <w:footnote w:id="11">
    <w:p w14:paraId="442AD4AB" w14:textId="77777777" w:rsidR="00F57393" w:rsidRDefault="00F57393" w:rsidP="00F57393">
      <w:pPr>
        <w:pStyle w:val="FootnoteText"/>
      </w:pPr>
      <w:r>
        <w:rPr>
          <w:rStyle w:val="FootnoteReference"/>
        </w:rPr>
        <w:footnoteRef/>
      </w:r>
      <w:r>
        <w:t xml:space="preserve"> </w:t>
      </w:r>
      <w:r w:rsidRPr="00D84B44">
        <w:t xml:space="preserve">Roadmap for Health and Well-being in the Western Balkans (‎2021-2025)‎: European Programme of Work (‎2020–2025)‎ - United Action for Better Health. </w:t>
      </w:r>
      <w:r>
        <w:t xml:space="preserve">Copenhagen: WHO </w:t>
      </w:r>
      <w:r w:rsidRPr="007D4E1C">
        <w:t>Regional Office for Europe</w:t>
      </w:r>
      <w:r>
        <w:t xml:space="preserve">; </w:t>
      </w:r>
      <w:r w:rsidRPr="007D4E1C">
        <w:t>202</w:t>
      </w:r>
      <w:r>
        <w:t>1</w:t>
      </w:r>
    </w:p>
    <w:p w14:paraId="3A2D6F6D" w14:textId="4841B629" w:rsidR="00F57393" w:rsidRPr="00D84B44" w:rsidRDefault="00F57393" w:rsidP="00F57393">
      <w:pPr>
        <w:pStyle w:val="FootnoteText"/>
        <w:jc w:val="both"/>
        <w:rPr>
          <w:lang w:val="en-US"/>
        </w:rPr>
      </w:pPr>
      <w:r>
        <w:t>(</w:t>
      </w:r>
      <w:hyperlink r:id="rId9" w:history="1">
        <w:r w:rsidRPr="00133F11">
          <w:rPr>
            <w:rStyle w:val="Hyperlink"/>
          </w:rPr>
          <w:t>https://iris.who.int/handle/10665/345932</w:t>
        </w:r>
      </w:hyperlink>
      <w:r>
        <w:t xml:space="preserve">, accessed on </w:t>
      </w:r>
      <w:r w:rsidR="00EF64EE">
        <w:t>15 April</w:t>
      </w:r>
      <w:r>
        <w:t xml:space="preserve"> 2024).</w:t>
      </w:r>
    </w:p>
  </w:footnote>
  <w:footnote w:id="12">
    <w:p w14:paraId="7C187120" w14:textId="35735BC0" w:rsidR="00F57393" w:rsidRPr="00D84B44" w:rsidRDefault="00F57393" w:rsidP="00F57393">
      <w:pPr>
        <w:pStyle w:val="FootnoteText"/>
        <w:jc w:val="both"/>
        <w:rPr>
          <w:lang w:val="en-US"/>
        </w:rPr>
      </w:pPr>
      <w:r>
        <w:rPr>
          <w:rStyle w:val="FootnoteReference"/>
        </w:rPr>
        <w:footnoteRef/>
      </w:r>
      <w:r>
        <w:t xml:space="preserve"> </w:t>
      </w:r>
      <w:r w:rsidRPr="00D84B44">
        <w:t xml:space="preserve">Roadmap for health and well-being in Central Asia (‎2022–2025)‎. </w:t>
      </w:r>
      <w:r>
        <w:t xml:space="preserve">Copenhagen: WHO </w:t>
      </w:r>
      <w:r w:rsidRPr="007D4E1C">
        <w:t>Regional Office for Europe</w:t>
      </w:r>
      <w:r>
        <w:t xml:space="preserve">; </w:t>
      </w:r>
      <w:r w:rsidRPr="007D4E1C">
        <w:t>202</w:t>
      </w:r>
      <w:r>
        <w:t>2 (</w:t>
      </w:r>
      <w:hyperlink r:id="rId10" w:history="1">
        <w:r w:rsidRPr="00133F11">
          <w:rPr>
            <w:rStyle w:val="Hyperlink"/>
          </w:rPr>
          <w:t>https://iris.who.int/handle/10665/364330</w:t>
        </w:r>
      </w:hyperlink>
      <w:r>
        <w:t xml:space="preserve">, accessed on </w:t>
      </w:r>
      <w:r w:rsidR="00EF64EE">
        <w:t>15 April</w:t>
      </w:r>
      <w:r>
        <w:t xml:space="preserve"> 2024).</w:t>
      </w:r>
    </w:p>
  </w:footnote>
  <w:footnote w:id="13">
    <w:p w14:paraId="5C0A6728" w14:textId="77777777" w:rsidR="003F4CEF" w:rsidRPr="00BD6355" w:rsidRDefault="003F4CEF" w:rsidP="003F4CEF">
      <w:pPr>
        <w:pStyle w:val="FootnoteText"/>
        <w:jc w:val="both"/>
        <w:rPr>
          <w:lang w:val="en-US"/>
        </w:rPr>
      </w:pPr>
      <w:r w:rsidRPr="007827D5">
        <w:rPr>
          <w:rStyle w:val="FootnoteReference"/>
          <w:rFonts w:eastAsiaTheme="minorEastAsia"/>
        </w:rPr>
        <w:footnoteRef/>
      </w:r>
      <w:r>
        <w:t xml:space="preserve"> </w:t>
      </w:r>
      <w:r w:rsidRPr="00BD6355">
        <w:t xml:space="preserve">Biennial Collaborative Agreements (BCAs) are bilateral contracts signed between WHO/Europe and Ministries of Health in European Member States. They define the strategic areas for technical collaboration </w:t>
      </w:r>
      <w:r>
        <w:t>and assistance between the WHO S</w:t>
      </w:r>
      <w:r w:rsidRPr="00BD6355">
        <w:t>ecretariat and the Member States, based on a country-tailored assessment of priorities.</w:t>
      </w:r>
    </w:p>
  </w:footnote>
  <w:footnote w:id="14">
    <w:p w14:paraId="178C149B" w14:textId="5627EF12" w:rsidR="001B7669" w:rsidRPr="001B7669" w:rsidRDefault="001B7669">
      <w:pPr>
        <w:pStyle w:val="FootnoteText"/>
        <w:rPr>
          <w:lang w:val="en-US"/>
        </w:rPr>
      </w:pPr>
      <w:r>
        <w:rPr>
          <w:rStyle w:val="FootnoteReference"/>
        </w:rPr>
        <w:footnoteRef/>
      </w:r>
      <w:r>
        <w:t xml:space="preserve"> </w:t>
      </w:r>
      <w:r>
        <w:rPr>
          <w:lang w:val="en-US"/>
        </w:rPr>
        <w:t>Budapest Youth Declaration. Copenhagen: WHO Regional Office for Europe 2023 (</w:t>
      </w:r>
      <w:hyperlink r:id="rId11" w:history="1">
        <w:r w:rsidRPr="00133F11">
          <w:rPr>
            <w:rStyle w:val="Hyperlink"/>
            <w:lang w:val="en-US"/>
          </w:rPr>
          <w:t>https://iris.who.int/handle/10665/370972</w:t>
        </w:r>
      </w:hyperlink>
      <w:r>
        <w:rPr>
          <w:lang w:val="en-US"/>
        </w:rPr>
        <w:t xml:space="preserve">, accessed on </w:t>
      </w:r>
      <w:r w:rsidR="00EF64EE">
        <w:rPr>
          <w:lang w:val="en-US"/>
        </w:rPr>
        <w:t>15 April</w:t>
      </w:r>
      <w:r>
        <w:rPr>
          <w:lang w:val="en-US"/>
        </w:rPr>
        <w:t xml:space="preserve"> 2024).</w:t>
      </w:r>
    </w:p>
  </w:footnote>
  <w:footnote w:id="15">
    <w:p w14:paraId="6B675EA6" w14:textId="3A6EBAAE" w:rsidR="00C4572E" w:rsidRPr="007D4E1C" w:rsidRDefault="00C4572E" w:rsidP="00C4572E">
      <w:pPr>
        <w:pStyle w:val="FootnoteText"/>
        <w:jc w:val="both"/>
        <w:rPr>
          <w:lang w:val="en-US"/>
        </w:rPr>
      </w:pPr>
      <w:r>
        <w:rPr>
          <w:rStyle w:val="FootnoteReference"/>
        </w:rPr>
        <w:footnoteRef/>
      </w:r>
      <w:r>
        <w:t xml:space="preserve"> </w:t>
      </w:r>
      <w:r w:rsidRPr="007D4E1C">
        <w:t>Progress in the WHO European Region towards the SDGs in the context of the Ostrava Declaration on Environment and Health: mid-way to 2030</w:t>
      </w:r>
      <w:r>
        <w:t xml:space="preserve">. Copenhagen: WHO </w:t>
      </w:r>
      <w:r w:rsidRPr="007D4E1C">
        <w:t>Regional Office for Europe</w:t>
      </w:r>
      <w:r>
        <w:t xml:space="preserve">; </w:t>
      </w:r>
      <w:r w:rsidRPr="007D4E1C">
        <w:t>2023</w:t>
      </w:r>
      <w:r>
        <w:t xml:space="preserve"> (</w:t>
      </w:r>
      <w:hyperlink r:id="rId12" w:history="1">
        <w:r w:rsidRPr="00354493">
          <w:rPr>
            <w:rStyle w:val="Hyperlink"/>
          </w:rPr>
          <w:t>https://iris.who.int/handle/10665/368166</w:t>
        </w:r>
      </w:hyperlink>
      <w:r>
        <w:t xml:space="preserve">, accessed on </w:t>
      </w:r>
      <w:r w:rsidR="00EF64EE">
        <w:t>15 April</w:t>
      </w:r>
      <w:r w:rsidR="00D84B44">
        <w:t xml:space="preserve"> 2024</w:t>
      </w:r>
      <w:r>
        <w:t>).</w:t>
      </w:r>
    </w:p>
  </w:footnote>
  <w:footnote w:id="16">
    <w:p w14:paraId="7B8D81F7" w14:textId="7296F9BF" w:rsidR="00181646" w:rsidRPr="000321A3" w:rsidRDefault="00181646" w:rsidP="00181646">
      <w:pPr>
        <w:pStyle w:val="FootnoteText"/>
        <w:jc w:val="both"/>
        <w:rPr>
          <w:lang w:val="en-US"/>
        </w:rPr>
      </w:pPr>
      <w:r>
        <w:rPr>
          <w:rStyle w:val="FootnoteReference"/>
        </w:rPr>
        <w:footnoteRef/>
      </w:r>
      <w:r>
        <w:t xml:space="preserve"> </w:t>
      </w:r>
      <w:r w:rsidRPr="000321A3">
        <w:t>Driving transformative action: from Ostrava to Budapest and beyond with National Portfolios of Actions on Environment and Health: policy brief</w:t>
      </w:r>
      <w:r>
        <w:t xml:space="preserve">. Copenhagen: WHO </w:t>
      </w:r>
      <w:r w:rsidRPr="007D4E1C">
        <w:t>Regional Office for Europe</w:t>
      </w:r>
      <w:r>
        <w:t xml:space="preserve">; </w:t>
      </w:r>
      <w:r w:rsidRPr="007D4E1C">
        <w:t>2023</w:t>
      </w:r>
      <w:r>
        <w:t xml:space="preserve"> (</w:t>
      </w:r>
      <w:hyperlink r:id="rId13" w:history="1">
        <w:r w:rsidRPr="00354493">
          <w:rPr>
            <w:rStyle w:val="Hyperlink"/>
          </w:rPr>
          <w:t>https://iris.who.int/handle/10665/368159</w:t>
        </w:r>
      </w:hyperlink>
      <w:r>
        <w:t xml:space="preserve">, accessed on </w:t>
      </w:r>
      <w:r w:rsidR="00EF64EE">
        <w:t>15 April</w:t>
      </w:r>
      <w:r w:rsidR="00D84B44">
        <w:t xml:space="preserve">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CA0F" w14:textId="77777777" w:rsidR="00507946" w:rsidRPr="005567BE" w:rsidRDefault="00507946">
    <w:pPr>
      <w:pStyle w:val="Header"/>
      <w:rPr>
        <w:rStyle w:val="PageNumber"/>
        <w:rFonts w:ascii="Arial" w:hAnsi="Arial" w:cs="Arial"/>
        <w:sz w:val="18"/>
        <w:szCs w:val="18"/>
        <w:lang w:val="fr-FR"/>
      </w:rPr>
    </w:pPr>
    <w:proofErr w:type="gramStart"/>
    <w:r w:rsidRPr="005567BE">
      <w:rPr>
        <w:rFonts w:ascii="Arial" w:hAnsi="Arial" w:cs="Arial"/>
        <w:sz w:val="18"/>
        <w:szCs w:val="18"/>
        <w:lang w:val="fr-FR"/>
      </w:rPr>
      <w:t>page</w:t>
    </w:r>
    <w:proofErr w:type="gramEnd"/>
    <w:r w:rsidRPr="005567BE">
      <w:rPr>
        <w:rFonts w:ascii="Arial" w:hAnsi="Arial" w:cs="Arial"/>
        <w:sz w:val="18"/>
        <w:szCs w:val="18"/>
        <w:lang w:val="fr-FR"/>
      </w:rPr>
      <w:t xml:space="preserve"> </w:t>
    </w:r>
    <w:r w:rsidRPr="005567BE">
      <w:rPr>
        <w:rStyle w:val="PageNumber"/>
        <w:rFonts w:ascii="Arial" w:hAnsi="Arial" w:cs="Arial"/>
        <w:sz w:val="18"/>
        <w:szCs w:val="18"/>
      </w:rPr>
      <w:fldChar w:fldCharType="begin"/>
    </w:r>
    <w:r w:rsidRPr="005567BE">
      <w:rPr>
        <w:rStyle w:val="PageNumber"/>
        <w:rFonts w:ascii="Arial" w:hAnsi="Arial" w:cs="Arial"/>
        <w:sz w:val="18"/>
        <w:szCs w:val="18"/>
        <w:lang w:val="fr-FR"/>
      </w:rPr>
      <w:instrText xml:space="preserve"> </w:instrText>
    </w:r>
    <w:r>
      <w:rPr>
        <w:rStyle w:val="PageNumber"/>
        <w:rFonts w:ascii="Arial" w:hAnsi="Arial" w:cs="Arial"/>
        <w:sz w:val="18"/>
        <w:szCs w:val="18"/>
        <w:lang w:val="fr-FR"/>
      </w:rPr>
      <w:instrText>PAGE</w:instrText>
    </w:r>
    <w:r w:rsidRPr="005567BE">
      <w:rPr>
        <w:rStyle w:val="PageNumber"/>
        <w:rFonts w:ascii="Arial" w:hAnsi="Arial" w:cs="Arial"/>
        <w:sz w:val="18"/>
        <w:szCs w:val="18"/>
        <w:lang w:val="fr-FR"/>
      </w:rPr>
      <w:instrText xml:space="preserve"> </w:instrText>
    </w:r>
    <w:r w:rsidRPr="005567BE">
      <w:rPr>
        <w:rStyle w:val="PageNumber"/>
        <w:rFonts w:ascii="Arial" w:hAnsi="Arial" w:cs="Arial"/>
        <w:sz w:val="18"/>
        <w:szCs w:val="18"/>
      </w:rPr>
      <w:fldChar w:fldCharType="separate"/>
    </w:r>
    <w:r>
      <w:rPr>
        <w:rStyle w:val="PageNumber"/>
        <w:rFonts w:ascii="Arial" w:hAnsi="Arial" w:cs="Arial"/>
        <w:noProof/>
        <w:sz w:val="18"/>
        <w:szCs w:val="18"/>
        <w:lang w:val="fr-FR"/>
      </w:rPr>
      <w:t>2</w:t>
    </w:r>
    <w:r w:rsidRPr="005567BE">
      <w:rPr>
        <w:rStyle w:val="PageNumber"/>
        <w:rFonts w:ascii="Arial" w:hAnsi="Arial" w:cs="Arial"/>
        <w:sz w:val="18"/>
        <w:szCs w:val="18"/>
      </w:rPr>
      <w:fldChar w:fldCharType="end"/>
    </w:r>
  </w:p>
  <w:p w14:paraId="2E638E65" w14:textId="77777777" w:rsidR="00507946" w:rsidRPr="005567BE" w:rsidRDefault="00507946">
    <w:pPr>
      <w:pStyle w:val="Header"/>
      <w:rPr>
        <w:rStyle w:val="PageNumber"/>
        <w:rFonts w:ascii="Arial" w:hAnsi="Arial" w:cs="Arial"/>
        <w:sz w:val="18"/>
        <w:szCs w:val="18"/>
        <w:lang w:val="fr-FR"/>
      </w:rPr>
    </w:pPr>
  </w:p>
  <w:p w14:paraId="3C5A96BA" w14:textId="77777777" w:rsidR="00507946" w:rsidRPr="005567BE" w:rsidRDefault="00507946">
    <w:pPr>
      <w:pStyle w:val="Header"/>
      <w:rPr>
        <w:rStyle w:val="PageNumber"/>
        <w:rFonts w:ascii="Arial" w:hAnsi="Arial" w:cs="Arial"/>
        <w:sz w:val="18"/>
        <w:szCs w:val="18"/>
        <w:lang w:val="fr-FR"/>
      </w:rPr>
    </w:pPr>
  </w:p>
  <w:p w14:paraId="7A5535D5" w14:textId="77777777" w:rsidR="00507946" w:rsidRPr="005567BE" w:rsidRDefault="00507946">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4423" w14:textId="77777777" w:rsidR="00962186" w:rsidRPr="00B70ABB" w:rsidRDefault="00962186" w:rsidP="00B70ABB">
    <w:pPr>
      <w:pStyle w:val="Header"/>
      <w:tabs>
        <w:tab w:val="left" w:pos="567"/>
        <w:tab w:val="left" w:pos="1134"/>
        <w:tab w:val="left" w:pos="1702"/>
        <w:tab w:val="center" w:pos="4820"/>
        <w:tab w:val="right" w:pos="9356"/>
      </w:tabs>
      <w:spacing w:after="0"/>
      <w:rPr>
        <w:rFonts w:ascii="Arial" w:hAnsi="Arial" w:cs="Arial"/>
        <w:color w:val="385623" w:themeColor="accent6" w:themeShade="80"/>
        <w:sz w:val="18"/>
        <w:szCs w:val="18"/>
      </w:rPr>
    </w:pPr>
    <w:r>
      <w:rPr>
        <w:rFonts w:ascii="Arial" w:hAnsi="Arial" w:cs="Arial"/>
        <w:sz w:val="18"/>
        <w:szCs w:val="18"/>
        <w:lang w:val="en-US"/>
      </w:rPr>
      <w:t xml:space="preserve">Draft </w:t>
    </w:r>
    <w:proofErr w:type="spellStart"/>
    <w:r>
      <w:rPr>
        <w:rFonts w:ascii="Arial" w:hAnsi="Arial" w:cs="Arial"/>
        <w:sz w:val="18"/>
        <w:szCs w:val="18"/>
        <w:lang w:val="en-US"/>
      </w:rPr>
      <w:t>Programme</w:t>
    </w:r>
    <w:proofErr w:type="spellEnd"/>
    <w:r>
      <w:rPr>
        <w:rFonts w:ascii="Arial" w:hAnsi="Arial" w:cs="Arial"/>
        <w:sz w:val="18"/>
        <w:szCs w:val="18"/>
        <w:lang w:val="en-US"/>
      </w:rPr>
      <w:t xml:space="preserve"> of Work </w:t>
    </w:r>
    <w:r w:rsidRPr="00B70ABB">
      <w:rPr>
        <w:rFonts w:ascii="Arial" w:hAnsi="Arial" w:cs="Arial"/>
        <w:sz w:val="18"/>
        <w:szCs w:val="18"/>
      </w:rPr>
      <w:t xml:space="preserve">for </w:t>
    </w:r>
    <w:r>
      <w:rPr>
        <w:rFonts w:ascii="Arial" w:hAnsi="Arial" w:cs="Arial"/>
        <w:sz w:val="18"/>
        <w:szCs w:val="18"/>
      </w:rPr>
      <w:t>the EHTF</w:t>
    </w:r>
    <w:r w:rsidRPr="00B70ABB">
      <w:rPr>
        <w:rFonts w:ascii="Arial" w:hAnsi="Arial" w:cs="Arial"/>
        <w:sz w:val="18"/>
        <w:szCs w:val="18"/>
      </w:rPr>
      <w:t xml:space="preserve"> for 2024−2025</w:t>
    </w:r>
  </w:p>
  <w:p w14:paraId="570BB52D" w14:textId="77777777" w:rsidR="00962186" w:rsidRPr="00F80E19" w:rsidRDefault="00962186" w:rsidP="00F80E19">
    <w:pPr>
      <w:pStyle w:val="Header"/>
      <w:tabs>
        <w:tab w:val="left" w:pos="567"/>
        <w:tab w:val="left" w:pos="1134"/>
        <w:tab w:val="left" w:pos="1702"/>
        <w:tab w:val="center" w:pos="4820"/>
        <w:tab w:val="right" w:pos="9356"/>
      </w:tabs>
      <w:rPr>
        <w:rFonts w:ascii="Arial" w:hAnsi="Arial" w:cs="Arial"/>
        <w:sz w:val="18"/>
        <w:szCs w:val="18"/>
      </w:rPr>
    </w:pPr>
    <w:r>
      <w:rPr>
        <w:rFonts w:ascii="Arial" w:hAnsi="Arial" w:cs="Arial"/>
        <w:sz w:val="18"/>
        <w:szCs w:val="18"/>
      </w:rPr>
      <w:t>page</w:t>
    </w:r>
    <w:r w:rsidRPr="00BF6081">
      <w:rPr>
        <w:rFonts w:ascii="Arial" w:hAnsi="Arial" w:cs="Arial"/>
        <w:sz w:val="18"/>
        <w:szCs w:val="18"/>
      </w:rPr>
      <w:t xml:space="preserve"> </w:t>
    </w:r>
    <w:r w:rsidRPr="00BF6081">
      <w:rPr>
        <w:rStyle w:val="PageNumber"/>
        <w:rFonts w:ascii="Arial" w:hAnsi="Arial" w:cs="Arial"/>
        <w:sz w:val="18"/>
        <w:szCs w:val="18"/>
      </w:rPr>
      <w:fldChar w:fldCharType="begin"/>
    </w:r>
    <w:r w:rsidRPr="00BF6081">
      <w:rPr>
        <w:rStyle w:val="PageNumber"/>
        <w:rFonts w:ascii="Arial" w:hAnsi="Arial" w:cs="Arial"/>
        <w:sz w:val="18"/>
        <w:szCs w:val="18"/>
      </w:rPr>
      <w:instrText xml:space="preserve"> PAGE </w:instrText>
    </w:r>
    <w:r w:rsidRPr="00BF6081">
      <w:rPr>
        <w:rStyle w:val="PageNumber"/>
        <w:rFonts w:ascii="Arial" w:hAnsi="Arial" w:cs="Arial"/>
        <w:sz w:val="18"/>
        <w:szCs w:val="18"/>
      </w:rPr>
      <w:fldChar w:fldCharType="separate"/>
    </w:r>
    <w:r>
      <w:rPr>
        <w:rStyle w:val="PageNumber"/>
        <w:rFonts w:ascii="Arial" w:hAnsi="Arial" w:cs="Arial"/>
        <w:noProof/>
        <w:sz w:val="18"/>
        <w:szCs w:val="18"/>
      </w:rPr>
      <w:t>4</w:t>
    </w:r>
    <w:r w:rsidRPr="00BF6081">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820"/>
    <w:multiLevelType w:val="hybridMultilevel"/>
    <w:tmpl w:val="219E0BD6"/>
    <w:lvl w:ilvl="0" w:tplc="5546E0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126E"/>
    <w:multiLevelType w:val="hybridMultilevel"/>
    <w:tmpl w:val="C46E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3214"/>
    <w:multiLevelType w:val="hybridMultilevel"/>
    <w:tmpl w:val="7CA42F1A"/>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9201F"/>
    <w:multiLevelType w:val="hybridMultilevel"/>
    <w:tmpl w:val="11A4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3271A"/>
    <w:multiLevelType w:val="hybridMultilevel"/>
    <w:tmpl w:val="823A4B30"/>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6BCB"/>
    <w:multiLevelType w:val="hybridMultilevel"/>
    <w:tmpl w:val="502C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0E8D"/>
    <w:multiLevelType w:val="hybridMultilevel"/>
    <w:tmpl w:val="DFA8F3B4"/>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7" w15:restartNumberingAfterBreak="0">
    <w:nsid w:val="1D5B6A49"/>
    <w:multiLevelType w:val="hybridMultilevel"/>
    <w:tmpl w:val="9BB0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5C1B"/>
    <w:multiLevelType w:val="hybridMultilevel"/>
    <w:tmpl w:val="9740F69C"/>
    <w:lvl w:ilvl="0" w:tplc="4A389ACA">
      <w:start w:val="1"/>
      <w:numFmt w:val="decimal"/>
      <w:lvlText w:val="%1."/>
      <w:lvlJc w:val="left"/>
      <w:pPr>
        <w:ind w:left="630" w:hanging="360"/>
      </w:pPr>
      <w:rPr>
        <w:rFonts w:ascii="Times New Roman" w:hAnsi="Times New Roman" w:cs="Times New Roman" w:hint="default"/>
        <w:i w:val="0"/>
        <w:sz w:val="24"/>
        <w:szCs w:val="24"/>
      </w:rPr>
    </w:lvl>
    <w:lvl w:ilvl="1" w:tplc="8E340C1C">
      <w:start w:val="1"/>
      <w:numFmt w:val="lowerLetter"/>
      <w:lvlText w:val="%2."/>
      <w:lvlJc w:val="left"/>
      <w:pPr>
        <w:ind w:left="726" w:hanging="360"/>
      </w:pPr>
      <w:rPr>
        <w:rFonts w:ascii="Times New Roman" w:hAnsi="Times New Roman" w:cs="Times New Roman" w:hint="default"/>
      </w:r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9" w15:restartNumberingAfterBreak="0">
    <w:nsid w:val="29CA5F28"/>
    <w:multiLevelType w:val="hybridMultilevel"/>
    <w:tmpl w:val="7E5AE272"/>
    <w:lvl w:ilvl="0" w:tplc="D47E7A5C">
      <w:start w:val="1"/>
      <w:numFmt w:val="bullet"/>
      <w:lvlText w:val=""/>
      <w:lvlJc w:val="left"/>
      <w:pPr>
        <w:ind w:left="720" w:hanging="360"/>
      </w:pPr>
      <w:rPr>
        <w:rFonts w:ascii="Symbol" w:hAnsi="Symbol"/>
      </w:rPr>
    </w:lvl>
    <w:lvl w:ilvl="1" w:tplc="A5D2EE56">
      <w:start w:val="1"/>
      <w:numFmt w:val="bullet"/>
      <w:lvlText w:val=""/>
      <w:lvlJc w:val="left"/>
      <w:pPr>
        <w:ind w:left="720" w:hanging="360"/>
      </w:pPr>
      <w:rPr>
        <w:rFonts w:ascii="Symbol" w:hAnsi="Symbol"/>
      </w:rPr>
    </w:lvl>
    <w:lvl w:ilvl="2" w:tplc="004EF11A">
      <w:start w:val="1"/>
      <w:numFmt w:val="bullet"/>
      <w:lvlText w:val=""/>
      <w:lvlJc w:val="left"/>
      <w:pPr>
        <w:ind w:left="720" w:hanging="360"/>
      </w:pPr>
      <w:rPr>
        <w:rFonts w:ascii="Symbol" w:hAnsi="Symbol"/>
      </w:rPr>
    </w:lvl>
    <w:lvl w:ilvl="3" w:tplc="FB84B448">
      <w:start w:val="1"/>
      <w:numFmt w:val="bullet"/>
      <w:lvlText w:val=""/>
      <w:lvlJc w:val="left"/>
      <w:pPr>
        <w:ind w:left="720" w:hanging="360"/>
      </w:pPr>
      <w:rPr>
        <w:rFonts w:ascii="Symbol" w:hAnsi="Symbol"/>
      </w:rPr>
    </w:lvl>
    <w:lvl w:ilvl="4" w:tplc="BEEA9F40">
      <w:start w:val="1"/>
      <w:numFmt w:val="bullet"/>
      <w:lvlText w:val=""/>
      <w:lvlJc w:val="left"/>
      <w:pPr>
        <w:ind w:left="720" w:hanging="360"/>
      </w:pPr>
      <w:rPr>
        <w:rFonts w:ascii="Symbol" w:hAnsi="Symbol"/>
      </w:rPr>
    </w:lvl>
    <w:lvl w:ilvl="5" w:tplc="08701A52">
      <w:start w:val="1"/>
      <w:numFmt w:val="bullet"/>
      <w:lvlText w:val=""/>
      <w:lvlJc w:val="left"/>
      <w:pPr>
        <w:ind w:left="720" w:hanging="360"/>
      </w:pPr>
      <w:rPr>
        <w:rFonts w:ascii="Symbol" w:hAnsi="Symbol"/>
      </w:rPr>
    </w:lvl>
    <w:lvl w:ilvl="6" w:tplc="FFAAB3BC">
      <w:start w:val="1"/>
      <w:numFmt w:val="bullet"/>
      <w:lvlText w:val=""/>
      <w:lvlJc w:val="left"/>
      <w:pPr>
        <w:ind w:left="720" w:hanging="360"/>
      </w:pPr>
      <w:rPr>
        <w:rFonts w:ascii="Symbol" w:hAnsi="Symbol"/>
      </w:rPr>
    </w:lvl>
    <w:lvl w:ilvl="7" w:tplc="C994DA92">
      <w:start w:val="1"/>
      <w:numFmt w:val="bullet"/>
      <w:lvlText w:val=""/>
      <w:lvlJc w:val="left"/>
      <w:pPr>
        <w:ind w:left="720" w:hanging="360"/>
      </w:pPr>
      <w:rPr>
        <w:rFonts w:ascii="Symbol" w:hAnsi="Symbol"/>
      </w:rPr>
    </w:lvl>
    <w:lvl w:ilvl="8" w:tplc="D5443706">
      <w:start w:val="1"/>
      <w:numFmt w:val="bullet"/>
      <w:lvlText w:val=""/>
      <w:lvlJc w:val="left"/>
      <w:pPr>
        <w:ind w:left="720" w:hanging="360"/>
      </w:pPr>
      <w:rPr>
        <w:rFonts w:ascii="Symbol" w:hAnsi="Symbol"/>
      </w:rPr>
    </w:lvl>
  </w:abstractNum>
  <w:abstractNum w:abstractNumId="10" w15:restartNumberingAfterBreak="0">
    <w:nsid w:val="29E155F0"/>
    <w:multiLevelType w:val="hybridMultilevel"/>
    <w:tmpl w:val="6424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C0535"/>
    <w:multiLevelType w:val="hybridMultilevel"/>
    <w:tmpl w:val="FE243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2D3B0D"/>
    <w:multiLevelType w:val="hybridMultilevel"/>
    <w:tmpl w:val="597206C4"/>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60DD8"/>
    <w:multiLevelType w:val="hybridMultilevel"/>
    <w:tmpl w:val="B210BACA"/>
    <w:lvl w:ilvl="0" w:tplc="6EFACB8E">
      <w:start w:val="1"/>
      <w:numFmt w:val="bullet"/>
      <w:lvlText w:val=""/>
      <w:lvlJc w:val="left"/>
      <w:pPr>
        <w:ind w:left="720" w:hanging="360"/>
      </w:pPr>
      <w:rPr>
        <w:rFonts w:ascii="Symbol" w:hAnsi="Symbol"/>
      </w:rPr>
    </w:lvl>
    <w:lvl w:ilvl="1" w:tplc="B996644A">
      <w:start w:val="1"/>
      <w:numFmt w:val="bullet"/>
      <w:lvlText w:val=""/>
      <w:lvlJc w:val="left"/>
      <w:pPr>
        <w:ind w:left="720" w:hanging="360"/>
      </w:pPr>
      <w:rPr>
        <w:rFonts w:ascii="Symbol" w:hAnsi="Symbol"/>
      </w:rPr>
    </w:lvl>
    <w:lvl w:ilvl="2" w:tplc="D2E41FDA">
      <w:start w:val="1"/>
      <w:numFmt w:val="bullet"/>
      <w:lvlText w:val=""/>
      <w:lvlJc w:val="left"/>
      <w:pPr>
        <w:ind w:left="720" w:hanging="360"/>
      </w:pPr>
      <w:rPr>
        <w:rFonts w:ascii="Symbol" w:hAnsi="Symbol"/>
      </w:rPr>
    </w:lvl>
    <w:lvl w:ilvl="3" w:tplc="46C8DD48">
      <w:start w:val="1"/>
      <w:numFmt w:val="bullet"/>
      <w:lvlText w:val=""/>
      <w:lvlJc w:val="left"/>
      <w:pPr>
        <w:ind w:left="720" w:hanging="360"/>
      </w:pPr>
      <w:rPr>
        <w:rFonts w:ascii="Symbol" w:hAnsi="Symbol"/>
      </w:rPr>
    </w:lvl>
    <w:lvl w:ilvl="4" w:tplc="BBCABA58">
      <w:start w:val="1"/>
      <w:numFmt w:val="bullet"/>
      <w:lvlText w:val=""/>
      <w:lvlJc w:val="left"/>
      <w:pPr>
        <w:ind w:left="720" w:hanging="360"/>
      </w:pPr>
      <w:rPr>
        <w:rFonts w:ascii="Symbol" w:hAnsi="Symbol"/>
      </w:rPr>
    </w:lvl>
    <w:lvl w:ilvl="5" w:tplc="5FAEFEC8">
      <w:start w:val="1"/>
      <w:numFmt w:val="bullet"/>
      <w:lvlText w:val=""/>
      <w:lvlJc w:val="left"/>
      <w:pPr>
        <w:ind w:left="720" w:hanging="360"/>
      </w:pPr>
      <w:rPr>
        <w:rFonts w:ascii="Symbol" w:hAnsi="Symbol"/>
      </w:rPr>
    </w:lvl>
    <w:lvl w:ilvl="6" w:tplc="E430A8F6">
      <w:start w:val="1"/>
      <w:numFmt w:val="bullet"/>
      <w:lvlText w:val=""/>
      <w:lvlJc w:val="left"/>
      <w:pPr>
        <w:ind w:left="720" w:hanging="360"/>
      </w:pPr>
      <w:rPr>
        <w:rFonts w:ascii="Symbol" w:hAnsi="Symbol"/>
      </w:rPr>
    </w:lvl>
    <w:lvl w:ilvl="7" w:tplc="7414BF58">
      <w:start w:val="1"/>
      <w:numFmt w:val="bullet"/>
      <w:lvlText w:val=""/>
      <w:lvlJc w:val="left"/>
      <w:pPr>
        <w:ind w:left="720" w:hanging="360"/>
      </w:pPr>
      <w:rPr>
        <w:rFonts w:ascii="Symbol" w:hAnsi="Symbol"/>
      </w:rPr>
    </w:lvl>
    <w:lvl w:ilvl="8" w:tplc="4246DB20">
      <w:start w:val="1"/>
      <w:numFmt w:val="bullet"/>
      <w:lvlText w:val=""/>
      <w:lvlJc w:val="left"/>
      <w:pPr>
        <w:ind w:left="720" w:hanging="360"/>
      </w:pPr>
      <w:rPr>
        <w:rFonts w:ascii="Symbol" w:hAnsi="Symbol"/>
      </w:rPr>
    </w:lvl>
  </w:abstractNum>
  <w:abstractNum w:abstractNumId="14" w15:restartNumberingAfterBreak="0">
    <w:nsid w:val="34380BBC"/>
    <w:multiLevelType w:val="hybridMultilevel"/>
    <w:tmpl w:val="9588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14"/>
    <w:multiLevelType w:val="hybridMultilevel"/>
    <w:tmpl w:val="A9943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4318F2"/>
    <w:multiLevelType w:val="hybridMultilevel"/>
    <w:tmpl w:val="65ACFE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259A"/>
    <w:multiLevelType w:val="hybridMultilevel"/>
    <w:tmpl w:val="E95638CA"/>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35BEB"/>
    <w:multiLevelType w:val="hybridMultilevel"/>
    <w:tmpl w:val="0278ECC6"/>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E4D0A"/>
    <w:multiLevelType w:val="hybridMultilevel"/>
    <w:tmpl w:val="D5EEB0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E920C3"/>
    <w:multiLevelType w:val="hybridMultilevel"/>
    <w:tmpl w:val="A544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C4FBB"/>
    <w:multiLevelType w:val="hybridMultilevel"/>
    <w:tmpl w:val="0C78D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B80085"/>
    <w:multiLevelType w:val="hybridMultilevel"/>
    <w:tmpl w:val="2F9E1FF6"/>
    <w:lvl w:ilvl="0" w:tplc="FC4EF1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7E022A"/>
    <w:multiLevelType w:val="hybridMultilevel"/>
    <w:tmpl w:val="60DE99AC"/>
    <w:lvl w:ilvl="0" w:tplc="07A0F538">
      <w:start w:val="1"/>
      <w:numFmt w:val="bullet"/>
      <w:lvlText w:val=""/>
      <w:lvlJc w:val="left"/>
      <w:pPr>
        <w:ind w:left="720" w:hanging="360"/>
      </w:pPr>
      <w:rPr>
        <w:rFonts w:ascii="Symbol" w:hAnsi="Symbol"/>
      </w:rPr>
    </w:lvl>
    <w:lvl w:ilvl="1" w:tplc="2AE641F0">
      <w:start w:val="1"/>
      <w:numFmt w:val="bullet"/>
      <w:lvlText w:val=""/>
      <w:lvlJc w:val="left"/>
      <w:pPr>
        <w:ind w:left="720" w:hanging="360"/>
      </w:pPr>
      <w:rPr>
        <w:rFonts w:ascii="Symbol" w:hAnsi="Symbol"/>
      </w:rPr>
    </w:lvl>
    <w:lvl w:ilvl="2" w:tplc="E9CE179E">
      <w:start w:val="1"/>
      <w:numFmt w:val="bullet"/>
      <w:lvlText w:val=""/>
      <w:lvlJc w:val="left"/>
      <w:pPr>
        <w:ind w:left="720" w:hanging="360"/>
      </w:pPr>
      <w:rPr>
        <w:rFonts w:ascii="Symbol" w:hAnsi="Symbol"/>
      </w:rPr>
    </w:lvl>
    <w:lvl w:ilvl="3" w:tplc="888E2218">
      <w:start w:val="1"/>
      <w:numFmt w:val="bullet"/>
      <w:lvlText w:val=""/>
      <w:lvlJc w:val="left"/>
      <w:pPr>
        <w:ind w:left="720" w:hanging="360"/>
      </w:pPr>
      <w:rPr>
        <w:rFonts w:ascii="Symbol" w:hAnsi="Symbol"/>
      </w:rPr>
    </w:lvl>
    <w:lvl w:ilvl="4" w:tplc="3F66B552">
      <w:start w:val="1"/>
      <w:numFmt w:val="bullet"/>
      <w:lvlText w:val=""/>
      <w:lvlJc w:val="left"/>
      <w:pPr>
        <w:ind w:left="720" w:hanging="360"/>
      </w:pPr>
      <w:rPr>
        <w:rFonts w:ascii="Symbol" w:hAnsi="Symbol"/>
      </w:rPr>
    </w:lvl>
    <w:lvl w:ilvl="5" w:tplc="9678DD26">
      <w:start w:val="1"/>
      <w:numFmt w:val="bullet"/>
      <w:lvlText w:val=""/>
      <w:lvlJc w:val="left"/>
      <w:pPr>
        <w:ind w:left="720" w:hanging="360"/>
      </w:pPr>
      <w:rPr>
        <w:rFonts w:ascii="Symbol" w:hAnsi="Symbol"/>
      </w:rPr>
    </w:lvl>
    <w:lvl w:ilvl="6" w:tplc="93AE1DA4">
      <w:start w:val="1"/>
      <w:numFmt w:val="bullet"/>
      <w:lvlText w:val=""/>
      <w:lvlJc w:val="left"/>
      <w:pPr>
        <w:ind w:left="720" w:hanging="360"/>
      </w:pPr>
      <w:rPr>
        <w:rFonts w:ascii="Symbol" w:hAnsi="Symbol"/>
      </w:rPr>
    </w:lvl>
    <w:lvl w:ilvl="7" w:tplc="70FA9E58">
      <w:start w:val="1"/>
      <w:numFmt w:val="bullet"/>
      <w:lvlText w:val=""/>
      <w:lvlJc w:val="left"/>
      <w:pPr>
        <w:ind w:left="720" w:hanging="360"/>
      </w:pPr>
      <w:rPr>
        <w:rFonts w:ascii="Symbol" w:hAnsi="Symbol"/>
      </w:rPr>
    </w:lvl>
    <w:lvl w:ilvl="8" w:tplc="0DC246A6">
      <w:start w:val="1"/>
      <w:numFmt w:val="bullet"/>
      <w:lvlText w:val=""/>
      <w:lvlJc w:val="left"/>
      <w:pPr>
        <w:ind w:left="720" w:hanging="360"/>
      </w:pPr>
      <w:rPr>
        <w:rFonts w:ascii="Symbol" w:hAnsi="Symbol"/>
      </w:rPr>
    </w:lvl>
  </w:abstractNum>
  <w:abstractNum w:abstractNumId="24" w15:restartNumberingAfterBreak="0">
    <w:nsid w:val="5AB04DC4"/>
    <w:multiLevelType w:val="hybridMultilevel"/>
    <w:tmpl w:val="7E9217E0"/>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A4A3E"/>
    <w:multiLevelType w:val="hybridMultilevel"/>
    <w:tmpl w:val="E5CEAAE2"/>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975FB"/>
    <w:multiLevelType w:val="hybridMultilevel"/>
    <w:tmpl w:val="69488DFC"/>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7958BC"/>
    <w:multiLevelType w:val="multilevel"/>
    <w:tmpl w:val="D3E696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434FA0"/>
    <w:multiLevelType w:val="hybridMultilevel"/>
    <w:tmpl w:val="80A840F4"/>
    <w:lvl w:ilvl="0" w:tplc="FC4EF1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742CAA"/>
    <w:multiLevelType w:val="hybridMultilevel"/>
    <w:tmpl w:val="842289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162F1D"/>
    <w:multiLevelType w:val="hybridMultilevel"/>
    <w:tmpl w:val="3BDA68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CF54D4"/>
    <w:multiLevelType w:val="hybridMultilevel"/>
    <w:tmpl w:val="617688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E323AB"/>
    <w:multiLevelType w:val="multilevel"/>
    <w:tmpl w:val="0F406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677354"/>
    <w:multiLevelType w:val="hybridMultilevel"/>
    <w:tmpl w:val="632CE8F2"/>
    <w:lvl w:ilvl="0" w:tplc="FC4E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F7F8C"/>
    <w:multiLevelType w:val="hybridMultilevel"/>
    <w:tmpl w:val="D000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3352A6"/>
    <w:multiLevelType w:val="hybridMultilevel"/>
    <w:tmpl w:val="D0000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808553">
    <w:abstractNumId w:val="8"/>
  </w:num>
  <w:num w:numId="2" w16cid:durableId="1880512305">
    <w:abstractNumId w:val="20"/>
  </w:num>
  <w:num w:numId="3" w16cid:durableId="895429958">
    <w:abstractNumId w:val="18"/>
  </w:num>
  <w:num w:numId="4" w16cid:durableId="584261338">
    <w:abstractNumId w:val="33"/>
  </w:num>
  <w:num w:numId="5" w16cid:durableId="1120958836">
    <w:abstractNumId w:val="5"/>
  </w:num>
  <w:num w:numId="6" w16cid:durableId="399403885">
    <w:abstractNumId w:val="12"/>
  </w:num>
  <w:num w:numId="7" w16cid:durableId="308635902">
    <w:abstractNumId w:val="1"/>
  </w:num>
  <w:num w:numId="8" w16cid:durableId="372922452">
    <w:abstractNumId w:val="24"/>
  </w:num>
  <w:num w:numId="9" w16cid:durableId="1231774175">
    <w:abstractNumId w:val="11"/>
  </w:num>
  <w:num w:numId="10" w16cid:durableId="45767053">
    <w:abstractNumId w:val="22"/>
  </w:num>
  <w:num w:numId="11" w16cid:durableId="807627992">
    <w:abstractNumId w:val="15"/>
  </w:num>
  <w:num w:numId="12" w16cid:durableId="1483813179">
    <w:abstractNumId w:val="19"/>
  </w:num>
  <w:num w:numId="13" w16cid:durableId="1608582803">
    <w:abstractNumId w:val="28"/>
  </w:num>
  <w:num w:numId="14" w16cid:durableId="1744720800">
    <w:abstractNumId w:val="25"/>
  </w:num>
  <w:num w:numId="15" w16cid:durableId="2059817623">
    <w:abstractNumId w:val="17"/>
  </w:num>
  <w:num w:numId="16" w16cid:durableId="949164860">
    <w:abstractNumId w:val="7"/>
  </w:num>
  <w:num w:numId="17" w16cid:durableId="1904870936">
    <w:abstractNumId w:val="31"/>
  </w:num>
  <w:num w:numId="18" w16cid:durableId="144669084">
    <w:abstractNumId w:val="2"/>
  </w:num>
  <w:num w:numId="19" w16cid:durableId="900671389">
    <w:abstractNumId w:val="29"/>
  </w:num>
  <w:num w:numId="20" w16cid:durableId="1507212909">
    <w:abstractNumId w:val="4"/>
  </w:num>
  <w:num w:numId="21" w16cid:durableId="182937292">
    <w:abstractNumId w:val="34"/>
  </w:num>
  <w:num w:numId="22" w16cid:durableId="1894343176">
    <w:abstractNumId w:val="35"/>
  </w:num>
  <w:num w:numId="23" w16cid:durableId="1685790386">
    <w:abstractNumId w:val="16"/>
  </w:num>
  <w:num w:numId="24" w16cid:durableId="1221596975">
    <w:abstractNumId w:val="6"/>
  </w:num>
  <w:num w:numId="25" w16cid:durableId="343676864">
    <w:abstractNumId w:val="14"/>
  </w:num>
  <w:num w:numId="26" w16cid:durableId="91822858">
    <w:abstractNumId w:val="3"/>
  </w:num>
  <w:num w:numId="27" w16cid:durableId="1723215128">
    <w:abstractNumId w:val="26"/>
  </w:num>
  <w:num w:numId="28" w16cid:durableId="458181467">
    <w:abstractNumId w:val="30"/>
  </w:num>
  <w:num w:numId="29" w16cid:durableId="2074115050">
    <w:abstractNumId w:val="0"/>
  </w:num>
  <w:num w:numId="30" w16cid:durableId="13507317">
    <w:abstractNumId w:val="21"/>
  </w:num>
  <w:num w:numId="31" w16cid:durableId="1148979912">
    <w:abstractNumId w:val="32"/>
  </w:num>
  <w:num w:numId="32" w16cid:durableId="1980108734">
    <w:abstractNumId w:val="10"/>
  </w:num>
  <w:num w:numId="33" w16cid:durableId="1624459016">
    <w:abstractNumId w:val="27"/>
  </w:num>
  <w:num w:numId="34" w16cid:durableId="1986816795">
    <w:abstractNumId w:val="13"/>
  </w:num>
  <w:num w:numId="35" w16cid:durableId="928150393">
    <w:abstractNumId w:val="9"/>
  </w:num>
  <w:num w:numId="36" w16cid:durableId="114650816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9"/>
    <w:rsid w:val="00000AC2"/>
    <w:rsid w:val="00001ACE"/>
    <w:rsid w:val="000022B3"/>
    <w:rsid w:val="000023FF"/>
    <w:rsid w:val="00004218"/>
    <w:rsid w:val="0000522D"/>
    <w:rsid w:val="00005F7C"/>
    <w:rsid w:val="0000650B"/>
    <w:rsid w:val="000066AC"/>
    <w:rsid w:val="0000728C"/>
    <w:rsid w:val="00010E7B"/>
    <w:rsid w:val="000118D6"/>
    <w:rsid w:val="00011AAE"/>
    <w:rsid w:val="00012357"/>
    <w:rsid w:val="00015634"/>
    <w:rsid w:val="000156A5"/>
    <w:rsid w:val="0001674C"/>
    <w:rsid w:val="000201B6"/>
    <w:rsid w:val="000203DB"/>
    <w:rsid w:val="000203E9"/>
    <w:rsid w:val="0002050E"/>
    <w:rsid w:val="00021081"/>
    <w:rsid w:val="000210B5"/>
    <w:rsid w:val="00023100"/>
    <w:rsid w:val="00024A29"/>
    <w:rsid w:val="00026D65"/>
    <w:rsid w:val="00026DB6"/>
    <w:rsid w:val="00027BFC"/>
    <w:rsid w:val="00027EBB"/>
    <w:rsid w:val="00030AE5"/>
    <w:rsid w:val="00030BD9"/>
    <w:rsid w:val="00031A13"/>
    <w:rsid w:val="000321A3"/>
    <w:rsid w:val="00034E80"/>
    <w:rsid w:val="00034F03"/>
    <w:rsid w:val="00035395"/>
    <w:rsid w:val="00035CB6"/>
    <w:rsid w:val="00036698"/>
    <w:rsid w:val="000369F6"/>
    <w:rsid w:val="00036FC4"/>
    <w:rsid w:val="00042C18"/>
    <w:rsid w:val="00042DE0"/>
    <w:rsid w:val="0004495E"/>
    <w:rsid w:val="00045A68"/>
    <w:rsid w:val="00045F92"/>
    <w:rsid w:val="00046698"/>
    <w:rsid w:val="000524AB"/>
    <w:rsid w:val="00057028"/>
    <w:rsid w:val="0005744B"/>
    <w:rsid w:val="000601C8"/>
    <w:rsid w:val="00060D62"/>
    <w:rsid w:val="00064386"/>
    <w:rsid w:val="00064A2A"/>
    <w:rsid w:val="00064CC1"/>
    <w:rsid w:val="0006613E"/>
    <w:rsid w:val="00066E0F"/>
    <w:rsid w:val="00067C31"/>
    <w:rsid w:val="00067DDA"/>
    <w:rsid w:val="00070D51"/>
    <w:rsid w:val="0007289A"/>
    <w:rsid w:val="00072A9E"/>
    <w:rsid w:val="00075932"/>
    <w:rsid w:val="00076C79"/>
    <w:rsid w:val="00077B9F"/>
    <w:rsid w:val="00080929"/>
    <w:rsid w:val="00081B01"/>
    <w:rsid w:val="00081B2F"/>
    <w:rsid w:val="000822EC"/>
    <w:rsid w:val="00082C7F"/>
    <w:rsid w:val="00085EA5"/>
    <w:rsid w:val="0008634D"/>
    <w:rsid w:val="000868FA"/>
    <w:rsid w:val="00086E12"/>
    <w:rsid w:val="000871D2"/>
    <w:rsid w:val="000904C8"/>
    <w:rsid w:val="00090AD9"/>
    <w:rsid w:val="00091CF4"/>
    <w:rsid w:val="00092386"/>
    <w:rsid w:val="000924E3"/>
    <w:rsid w:val="00092633"/>
    <w:rsid w:val="00092977"/>
    <w:rsid w:val="00092A87"/>
    <w:rsid w:val="00092FEF"/>
    <w:rsid w:val="0009313C"/>
    <w:rsid w:val="000943CD"/>
    <w:rsid w:val="000952C5"/>
    <w:rsid w:val="000959A8"/>
    <w:rsid w:val="0009775D"/>
    <w:rsid w:val="00097B4F"/>
    <w:rsid w:val="000A25E7"/>
    <w:rsid w:val="000A2B05"/>
    <w:rsid w:val="000A365D"/>
    <w:rsid w:val="000A377E"/>
    <w:rsid w:val="000A3800"/>
    <w:rsid w:val="000A3A85"/>
    <w:rsid w:val="000A3B34"/>
    <w:rsid w:val="000A3C8D"/>
    <w:rsid w:val="000A54A4"/>
    <w:rsid w:val="000A5E2C"/>
    <w:rsid w:val="000A6DD1"/>
    <w:rsid w:val="000A73A0"/>
    <w:rsid w:val="000B04B2"/>
    <w:rsid w:val="000B07D1"/>
    <w:rsid w:val="000B0946"/>
    <w:rsid w:val="000B0D1D"/>
    <w:rsid w:val="000B0F00"/>
    <w:rsid w:val="000B1BC8"/>
    <w:rsid w:val="000B21F4"/>
    <w:rsid w:val="000B2685"/>
    <w:rsid w:val="000B2935"/>
    <w:rsid w:val="000B32A4"/>
    <w:rsid w:val="000B39B3"/>
    <w:rsid w:val="000B621C"/>
    <w:rsid w:val="000C15FC"/>
    <w:rsid w:val="000C577B"/>
    <w:rsid w:val="000C591D"/>
    <w:rsid w:val="000C5DAB"/>
    <w:rsid w:val="000C5E72"/>
    <w:rsid w:val="000C6223"/>
    <w:rsid w:val="000C68A7"/>
    <w:rsid w:val="000C7DFB"/>
    <w:rsid w:val="000D05F9"/>
    <w:rsid w:val="000D1039"/>
    <w:rsid w:val="000D15F1"/>
    <w:rsid w:val="000D308B"/>
    <w:rsid w:val="000D36A7"/>
    <w:rsid w:val="000D391F"/>
    <w:rsid w:val="000D420E"/>
    <w:rsid w:val="000D43C5"/>
    <w:rsid w:val="000D45A8"/>
    <w:rsid w:val="000D4A64"/>
    <w:rsid w:val="000D4C9C"/>
    <w:rsid w:val="000E03B7"/>
    <w:rsid w:val="000E0BDD"/>
    <w:rsid w:val="000E127D"/>
    <w:rsid w:val="000E1CF3"/>
    <w:rsid w:val="000E26D0"/>
    <w:rsid w:val="000E4220"/>
    <w:rsid w:val="000E4362"/>
    <w:rsid w:val="000E6B05"/>
    <w:rsid w:val="000E7761"/>
    <w:rsid w:val="000F0780"/>
    <w:rsid w:val="000F17B3"/>
    <w:rsid w:val="000F26CD"/>
    <w:rsid w:val="000F2D31"/>
    <w:rsid w:val="000F3863"/>
    <w:rsid w:val="000F3D87"/>
    <w:rsid w:val="000F46B6"/>
    <w:rsid w:val="000F68A1"/>
    <w:rsid w:val="000F6D2E"/>
    <w:rsid w:val="000F6D89"/>
    <w:rsid w:val="000F6FFB"/>
    <w:rsid w:val="00100A53"/>
    <w:rsid w:val="00101385"/>
    <w:rsid w:val="001018AD"/>
    <w:rsid w:val="001028DF"/>
    <w:rsid w:val="0010337B"/>
    <w:rsid w:val="00103504"/>
    <w:rsid w:val="00103857"/>
    <w:rsid w:val="00103AEE"/>
    <w:rsid w:val="00103C1A"/>
    <w:rsid w:val="00104E88"/>
    <w:rsid w:val="00105A3F"/>
    <w:rsid w:val="00106043"/>
    <w:rsid w:val="00106BC8"/>
    <w:rsid w:val="001071C9"/>
    <w:rsid w:val="00110AF8"/>
    <w:rsid w:val="00113B5D"/>
    <w:rsid w:val="00115A8D"/>
    <w:rsid w:val="00117882"/>
    <w:rsid w:val="00120FF3"/>
    <w:rsid w:val="001224B7"/>
    <w:rsid w:val="00122DF2"/>
    <w:rsid w:val="00123718"/>
    <w:rsid w:val="00124CF7"/>
    <w:rsid w:val="001264BF"/>
    <w:rsid w:val="0012712C"/>
    <w:rsid w:val="0012764F"/>
    <w:rsid w:val="00130051"/>
    <w:rsid w:val="00131316"/>
    <w:rsid w:val="00131ABE"/>
    <w:rsid w:val="00135020"/>
    <w:rsid w:val="00136FF0"/>
    <w:rsid w:val="00137595"/>
    <w:rsid w:val="001376DD"/>
    <w:rsid w:val="00140E69"/>
    <w:rsid w:val="00142028"/>
    <w:rsid w:val="0014254B"/>
    <w:rsid w:val="00142833"/>
    <w:rsid w:val="00143009"/>
    <w:rsid w:val="00143B65"/>
    <w:rsid w:val="0014543C"/>
    <w:rsid w:val="0014685D"/>
    <w:rsid w:val="0014773C"/>
    <w:rsid w:val="00147E7E"/>
    <w:rsid w:val="00150080"/>
    <w:rsid w:val="00153168"/>
    <w:rsid w:val="0015427D"/>
    <w:rsid w:val="001577E7"/>
    <w:rsid w:val="00157BCB"/>
    <w:rsid w:val="0016054D"/>
    <w:rsid w:val="0016063C"/>
    <w:rsid w:val="00160D8F"/>
    <w:rsid w:val="00160F1C"/>
    <w:rsid w:val="001617B5"/>
    <w:rsid w:val="001621C2"/>
    <w:rsid w:val="00164FA8"/>
    <w:rsid w:val="001654DE"/>
    <w:rsid w:val="00167884"/>
    <w:rsid w:val="001704CD"/>
    <w:rsid w:val="00174A58"/>
    <w:rsid w:val="001755EB"/>
    <w:rsid w:val="001762A4"/>
    <w:rsid w:val="00176577"/>
    <w:rsid w:val="0017753B"/>
    <w:rsid w:val="0017767F"/>
    <w:rsid w:val="00177CC5"/>
    <w:rsid w:val="00180460"/>
    <w:rsid w:val="00180C8B"/>
    <w:rsid w:val="00181646"/>
    <w:rsid w:val="00181974"/>
    <w:rsid w:val="001819A9"/>
    <w:rsid w:val="001824A4"/>
    <w:rsid w:val="00182523"/>
    <w:rsid w:val="001836AA"/>
    <w:rsid w:val="00184541"/>
    <w:rsid w:val="0018591B"/>
    <w:rsid w:val="00186915"/>
    <w:rsid w:val="001876A1"/>
    <w:rsid w:val="0019070D"/>
    <w:rsid w:val="00190DDD"/>
    <w:rsid w:val="001914D0"/>
    <w:rsid w:val="00193D5F"/>
    <w:rsid w:val="0019452C"/>
    <w:rsid w:val="00195303"/>
    <w:rsid w:val="00196C66"/>
    <w:rsid w:val="00197AFE"/>
    <w:rsid w:val="00197F91"/>
    <w:rsid w:val="001A0479"/>
    <w:rsid w:val="001A07A0"/>
    <w:rsid w:val="001A1139"/>
    <w:rsid w:val="001A1E90"/>
    <w:rsid w:val="001A2036"/>
    <w:rsid w:val="001A3B4D"/>
    <w:rsid w:val="001A5B1A"/>
    <w:rsid w:val="001A5F25"/>
    <w:rsid w:val="001A65D1"/>
    <w:rsid w:val="001A6F4F"/>
    <w:rsid w:val="001A74EB"/>
    <w:rsid w:val="001A781D"/>
    <w:rsid w:val="001B02C6"/>
    <w:rsid w:val="001B10F0"/>
    <w:rsid w:val="001B36FF"/>
    <w:rsid w:val="001B58B4"/>
    <w:rsid w:val="001B596B"/>
    <w:rsid w:val="001B665B"/>
    <w:rsid w:val="001B704E"/>
    <w:rsid w:val="001B7268"/>
    <w:rsid w:val="001B7669"/>
    <w:rsid w:val="001B7F39"/>
    <w:rsid w:val="001C01B3"/>
    <w:rsid w:val="001C3419"/>
    <w:rsid w:val="001C3518"/>
    <w:rsid w:val="001C45A5"/>
    <w:rsid w:val="001C52D6"/>
    <w:rsid w:val="001C5C54"/>
    <w:rsid w:val="001C5C7D"/>
    <w:rsid w:val="001C5E04"/>
    <w:rsid w:val="001C7A7B"/>
    <w:rsid w:val="001C7BA0"/>
    <w:rsid w:val="001D025E"/>
    <w:rsid w:val="001D29F8"/>
    <w:rsid w:val="001D2F32"/>
    <w:rsid w:val="001D3632"/>
    <w:rsid w:val="001D5435"/>
    <w:rsid w:val="001D736D"/>
    <w:rsid w:val="001D7E97"/>
    <w:rsid w:val="001E06B1"/>
    <w:rsid w:val="001E30B6"/>
    <w:rsid w:val="001E314A"/>
    <w:rsid w:val="001E377F"/>
    <w:rsid w:val="001E4239"/>
    <w:rsid w:val="001F0E12"/>
    <w:rsid w:val="001F0F69"/>
    <w:rsid w:val="001F186A"/>
    <w:rsid w:val="001F287A"/>
    <w:rsid w:val="001F4409"/>
    <w:rsid w:val="001F486C"/>
    <w:rsid w:val="001F4F13"/>
    <w:rsid w:val="001F64B8"/>
    <w:rsid w:val="001F7032"/>
    <w:rsid w:val="001F762C"/>
    <w:rsid w:val="001F7CB5"/>
    <w:rsid w:val="002013A5"/>
    <w:rsid w:val="00201583"/>
    <w:rsid w:val="002021F2"/>
    <w:rsid w:val="00202C37"/>
    <w:rsid w:val="00203497"/>
    <w:rsid w:val="002050EB"/>
    <w:rsid w:val="00205E5A"/>
    <w:rsid w:val="00206023"/>
    <w:rsid w:val="00206084"/>
    <w:rsid w:val="002074D9"/>
    <w:rsid w:val="00210304"/>
    <w:rsid w:val="00210ACF"/>
    <w:rsid w:val="00211261"/>
    <w:rsid w:val="0021142C"/>
    <w:rsid w:val="00212C4A"/>
    <w:rsid w:val="00213F78"/>
    <w:rsid w:val="0021406D"/>
    <w:rsid w:val="00214566"/>
    <w:rsid w:val="0021529F"/>
    <w:rsid w:val="0021728A"/>
    <w:rsid w:val="0022051E"/>
    <w:rsid w:val="00220A0C"/>
    <w:rsid w:val="0022190E"/>
    <w:rsid w:val="00221BA7"/>
    <w:rsid w:val="00222770"/>
    <w:rsid w:val="002229E9"/>
    <w:rsid w:val="00223CB9"/>
    <w:rsid w:val="002244B7"/>
    <w:rsid w:val="002255F3"/>
    <w:rsid w:val="002268EF"/>
    <w:rsid w:val="00227B2A"/>
    <w:rsid w:val="00230EAA"/>
    <w:rsid w:val="0023177B"/>
    <w:rsid w:val="0023288E"/>
    <w:rsid w:val="0023376D"/>
    <w:rsid w:val="002339CE"/>
    <w:rsid w:val="002340CD"/>
    <w:rsid w:val="00235A6C"/>
    <w:rsid w:val="00236DCC"/>
    <w:rsid w:val="00236EFD"/>
    <w:rsid w:val="00237182"/>
    <w:rsid w:val="0024062F"/>
    <w:rsid w:val="00241C6A"/>
    <w:rsid w:val="00243027"/>
    <w:rsid w:val="00243496"/>
    <w:rsid w:val="00244A1D"/>
    <w:rsid w:val="00244C10"/>
    <w:rsid w:val="00245248"/>
    <w:rsid w:val="0025031C"/>
    <w:rsid w:val="00250A80"/>
    <w:rsid w:val="0025152E"/>
    <w:rsid w:val="00251859"/>
    <w:rsid w:val="002532A7"/>
    <w:rsid w:val="00254473"/>
    <w:rsid w:val="002550AA"/>
    <w:rsid w:val="00255D7A"/>
    <w:rsid w:val="00256BBE"/>
    <w:rsid w:val="00256FAE"/>
    <w:rsid w:val="00257DE2"/>
    <w:rsid w:val="00257E15"/>
    <w:rsid w:val="0026059D"/>
    <w:rsid w:val="0026088F"/>
    <w:rsid w:val="002623E8"/>
    <w:rsid w:val="00263728"/>
    <w:rsid w:val="00263B3A"/>
    <w:rsid w:val="00265A8A"/>
    <w:rsid w:val="0026679D"/>
    <w:rsid w:val="00270DD6"/>
    <w:rsid w:val="00271504"/>
    <w:rsid w:val="00272F56"/>
    <w:rsid w:val="00273448"/>
    <w:rsid w:val="00275989"/>
    <w:rsid w:val="00276AC4"/>
    <w:rsid w:val="002775D5"/>
    <w:rsid w:val="002778DD"/>
    <w:rsid w:val="00277D48"/>
    <w:rsid w:val="00277E56"/>
    <w:rsid w:val="00280AE4"/>
    <w:rsid w:val="0028156D"/>
    <w:rsid w:val="00281822"/>
    <w:rsid w:val="00282585"/>
    <w:rsid w:val="00283F74"/>
    <w:rsid w:val="00285614"/>
    <w:rsid w:val="00287DD1"/>
    <w:rsid w:val="00290AA7"/>
    <w:rsid w:val="00294697"/>
    <w:rsid w:val="00295246"/>
    <w:rsid w:val="00295476"/>
    <w:rsid w:val="00295768"/>
    <w:rsid w:val="00295C46"/>
    <w:rsid w:val="00295D36"/>
    <w:rsid w:val="002A12E8"/>
    <w:rsid w:val="002A21CC"/>
    <w:rsid w:val="002A2519"/>
    <w:rsid w:val="002A40B3"/>
    <w:rsid w:val="002A4861"/>
    <w:rsid w:val="002A48AF"/>
    <w:rsid w:val="002A4C23"/>
    <w:rsid w:val="002A50B7"/>
    <w:rsid w:val="002B07FB"/>
    <w:rsid w:val="002B0B41"/>
    <w:rsid w:val="002B0EB0"/>
    <w:rsid w:val="002B1211"/>
    <w:rsid w:val="002B47EB"/>
    <w:rsid w:val="002B680F"/>
    <w:rsid w:val="002C064F"/>
    <w:rsid w:val="002C0C32"/>
    <w:rsid w:val="002C1ED9"/>
    <w:rsid w:val="002C39F5"/>
    <w:rsid w:val="002C626F"/>
    <w:rsid w:val="002C6607"/>
    <w:rsid w:val="002C6653"/>
    <w:rsid w:val="002C731A"/>
    <w:rsid w:val="002C7933"/>
    <w:rsid w:val="002D06A5"/>
    <w:rsid w:val="002D0A76"/>
    <w:rsid w:val="002D584B"/>
    <w:rsid w:val="002D69B5"/>
    <w:rsid w:val="002D6F0B"/>
    <w:rsid w:val="002D7F60"/>
    <w:rsid w:val="002E0D97"/>
    <w:rsid w:val="002E1CD5"/>
    <w:rsid w:val="002E2F93"/>
    <w:rsid w:val="002E3F14"/>
    <w:rsid w:val="002E49FD"/>
    <w:rsid w:val="002E4E6D"/>
    <w:rsid w:val="002E5CBF"/>
    <w:rsid w:val="002E62A1"/>
    <w:rsid w:val="002E6418"/>
    <w:rsid w:val="002E661C"/>
    <w:rsid w:val="002E6C3A"/>
    <w:rsid w:val="002E6D78"/>
    <w:rsid w:val="002F2BB7"/>
    <w:rsid w:val="002F60F8"/>
    <w:rsid w:val="00301020"/>
    <w:rsid w:val="00301F49"/>
    <w:rsid w:val="00302977"/>
    <w:rsid w:val="00304A3E"/>
    <w:rsid w:val="00304E53"/>
    <w:rsid w:val="0030551E"/>
    <w:rsid w:val="00305B46"/>
    <w:rsid w:val="00305D78"/>
    <w:rsid w:val="00306B42"/>
    <w:rsid w:val="003100E1"/>
    <w:rsid w:val="0031062E"/>
    <w:rsid w:val="00310798"/>
    <w:rsid w:val="00312BEF"/>
    <w:rsid w:val="00313D17"/>
    <w:rsid w:val="003142E1"/>
    <w:rsid w:val="00314B72"/>
    <w:rsid w:val="00314E27"/>
    <w:rsid w:val="0031508A"/>
    <w:rsid w:val="00315EBF"/>
    <w:rsid w:val="003161A7"/>
    <w:rsid w:val="003162AA"/>
    <w:rsid w:val="00316E2F"/>
    <w:rsid w:val="00320690"/>
    <w:rsid w:val="00320C15"/>
    <w:rsid w:val="0032159F"/>
    <w:rsid w:val="00324ED0"/>
    <w:rsid w:val="0032598D"/>
    <w:rsid w:val="00326313"/>
    <w:rsid w:val="00326C1F"/>
    <w:rsid w:val="00327BBB"/>
    <w:rsid w:val="00330271"/>
    <w:rsid w:val="003303DD"/>
    <w:rsid w:val="00331496"/>
    <w:rsid w:val="00331C9C"/>
    <w:rsid w:val="00332280"/>
    <w:rsid w:val="00332DEE"/>
    <w:rsid w:val="00333662"/>
    <w:rsid w:val="00334F24"/>
    <w:rsid w:val="003372F3"/>
    <w:rsid w:val="00337C66"/>
    <w:rsid w:val="003413C0"/>
    <w:rsid w:val="00341591"/>
    <w:rsid w:val="003436D7"/>
    <w:rsid w:val="003438B4"/>
    <w:rsid w:val="00344362"/>
    <w:rsid w:val="00344B3B"/>
    <w:rsid w:val="00344DD8"/>
    <w:rsid w:val="0035024D"/>
    <w:rsid w:val="00350DD1"/>
    <w:rsid w:val="00353414"/>
    <w:rsid w:val="00353A06"/>
    <w:rsid w:val="00353A68"/>
    <w:rsid w:val="00353AF4"/>
    <w:rsid w:val="003540F7"/>
    <w:rsid w:val="00354BFE"/>
    <w:rsid w:val="003557FD"/>
    <w:rsid w:val="00355B72"/>
    <w:rsid w:val="00356B4D"/>
    <w:rsid w:val="00356EB3"/>
    <w:rsid w:val="00357D53"/>
    <w:rsid w:val="00360D4A"/>
    <w:rsid w:val="00361C04"/>
    <w:rsid w:val="00364219"/>
    <w:rsid w:val="0036443D"/>
    <w:rsid w:val="00364525"/>
    <w:rsid w:val="00364E7F"/>
    <w:rsid w:val="003657AA"/>
    <w:rsid w:val="00365BF6"/>
    <w:rsid w:val="003660B7"/>
    <w:rsid w:val="0036705A"/>
    <w:rsid w:val="00367B2F"/>
    <w:rsid w:val="00367D4A"/>
    <w:rsid w:val="003726B6"/>
    <w:rsid w:val="003729A6"/>
    <w:rsid w:val="00372B61"/>
    <w:rsid w:val="00372E73"/>
    <w:rsid w:val="00373F6A"/>
    <w:rsid w:val="00374E1B"/>
    <w:rsid w:val="0037676B"/>
    <w:rsid w:val="003769A8"/>
    <w:rsid w:val="00381015"/>
    <w:rsid w:val="00381DF6"/>
    <w:rsid w:val="00383F19"/>
    <w:rsid w:val="003849FC"/>
    <w:rsid w:val="00384D8A"/>
    <w:rsid w:val="00387150"/>
    <w:rsid w:val="003879A3"/>
    <w:rsid w:val="00387C50"/>
    <w:rsid w:val="00387E26"/>
    <w:rsid w:val="003903F6"/>
    <w:rsid w:val="00392592"/>
    <w:rsid w:val="0039332C"/>
    <w:rsid w:val="003933FE"/>
    <w:rsid w:val="00393998"/>
    <w:rsid w:val="0039425A"/>
    <w:rsid w:val="00394733"/>
    <w:rsid w:val="00394C49"/>
    <w:rsid w:val="00394FF2"/>
    <w:rsid w:val="00395102"/>
    <w:rsid w:val="003955C8"/>
    <w:rsid w:val="00395F9A"/>
    <w:rsid w:val="00396AC5"/>
    <w:rsid w:val="00397F2A"/>
    <w:rsid w:val="003A0A1D"/>
    <w:rsid w:val="003A1645"/>
    <w:rsid w:val="003A1DBB"/>
    <w:rsid w:val="003A2B38"/>
    <w:rsid w:val="003A418F"/>
    <w:rsid w:val="003A488C"/>
    <w:rsid w:val="003A49EF"/>
    <w:rsid w:val="003A52FA"/>
    <w:rsid w:val="003B0C1A"/>
    <w:rsid w:val="003B0D59"/>
    <w:rsid w:val="003B2569"/>
    <w:rsid w:val="003B28E1"/>
    <w:rsid w:val="003B309B"/>
    <w:rsid w:val="003B34C0"/>
    <w:rsid w:val="003B3AE9"/>
    <w:rsid w:val="003B421B"/>
    <w:rsid w:val="003B48B1"/>
    <w:rsid w:val="003B4B27"/>
    <w:rsid w:val="003B4F16"/>
    <w:rsid w:val="003B53BE"/>
    <w:rsid w:val="003B5F0D"/>
    <w:rsid w:val="003B620F"/>
    <w:rsid w:val="003B628C"/>
    <w:rsid w:val="003B636B"/>
    <w:rsid w:val="003B6C0C"/>
    <w:rsid w:val="003C0343"/>
    <w:rsid w:val="003C08AA"/>
    <w:rsid w:val="003C179B"/>
    <w:rsid w:val="003C25BA"/>
    <w:rsid w:val="003C2CD9"/>
    <w:rsid w:val="003C315B"/>
    <w:rsid w:val="003C3337"/>
    <w:rsid w:val="003C4495"/>
    <w:rsid w:val="003C4546"/>
    <w:rsid w:val="003C512D"/>
    <w:rsid w:val="003C529F"/>
    <w:rsid w:val="003C582D"/>
    <w:rsid w:val="003C5E81"/>
    <w:rsid w:val="003C7B0F"/>
    <w:rsid w:val="003D058B"/>
    <w:rsid w:val="003D1055"/>
    <w:rsid w:val="003D2EE9"/>
    <w:rsid w:val="003D3746"/>
    <w:rsid w:val="003D3D4B"/>
    <w:rsid w:val="003D4371"/>
    <w:rsid w:val="003D4C14"/>
    <w:rsid w:val="003D56B0"/>
    <w:rsid w:val="003D6609"/>
    <w:rsid w:val="003D66EB"/>
    <w:rsid w:val="003D70F3"/>
    <w:rsid w:val="003D797A"/>
    <w:rsid w:val="003D7A89"/>
    <w:rsid w:val="003E15F0"/>
    <w:rsid w:val="003E2805"/>
    <w:rsid w:val="003E2CFF"/>
    <w:rsid w:val="003E3322"/>
    <w:rsid w:val="003E471C"/>
    <w:rsid w:val="003E5971"/>
    <w:rsid w:val="003E5D5D"/>
    <w:rsid w:val="003E68F0"/>
    <w:rsid w:val="003E6DE5"/>
    <w:rsid w:val="003E79C8"/>
    <w:rsid w:val="003F0C8B"/>
    <w:rsid w:val="003F142B"/>
    <w:rsid w:val="003F17DB"/>
    <w:rsid w:val="003F45AD"/>
    <w:rsid w:val="003F4CEF"/>
    <w:rsid w:val="003F66E0"/>
    <w:rsid w:val="003F7388"/>
    <w:rsid w:val="003F7515"/>
    <w:rsid w:val="003F79C2"/>
    <w:rsid w:val="003F7B29"/>
    <w:rsid w:val="003F7DCB"/>
    <w:rsid w:val="00400410"/>
    <w:rsid w:val="004022D5"/>
    <w:rsid w:val="00404A1C"/>
    <w:rsid w:val="00404FE2"/>
    <w:rsid w:val="00407C16"/>
    <w:rsid w:val="004116D7"/>
    <w:rsid w:val="00412655"/>
    <w:rsid w:val="00412B7B"/>
    <w:rsid w:val="00413142"/>
    <w:rsid w:val="00413A96"/>
    <w:rsid w:val="00413CF6"/>
    <w:rsid w:val="00414A53"/>
    <w:rsid w:val="00414C75"/>
    <w:rsid w:val="0041538D"/>
    <w:rsid w:val="00415DF0"/>
    <w:rsid w:val="0041646F"/>
    <w:rsid w:val="00417517"/>
    <w:rsid w:val="004175C7"/>
    <w:rsid w:val="00417B45"/>
    <w:rsid w:val="00422D94"/>
    <w:rsid w:val="00423298"/>
    <w:rsid w:val="00423813"/>
    <w:rsid w:val="00423DD3"/>
    <w:rsid w:val="004242FD"/>
    <w:rsid w:val="00425BB8"/>
    <w:rsid w:val="00426F89"/>
    <w:rsid w:val="00427C8B"/>
    <w:rsid w:val="00430C90"/>
    <w:rsid w:val="004318FE"/>
    <w:rsid w:val="00431FDD"/>
    <w:rsid w:val="0043238F"/>
    <w:rsid w:val="004331EE"/>
    <w:rsid w:val="0043459E"/>
    <w:rsid w:val="00434726"/>
    <w:rsid w:val="00434AA7"/>
    <w:rsid w:val="004373E0"/>
    <w:rsid w:val="00437703"/>
    <w:rsid w:val="00437C1D"/>
    <w:rsid w:val="00437F3C"/>
    <w:rsid w:val="00440981"/>
    <w:rsid w:val="00441E00"/>
    <w:rsid w:val="00441EA5"/>
    <w:rsid w:val="00442020"/>
    <w:rsid w:val="00442B21"/>
    <w:rsid w:val="004430C3"/>
    <w:rsid w:val="00443955"/>
    <w:rsid w:val="0044505C"/>
    <w:rsid w:val="0044589E"/>
    <w:rsid w:val="00447281"/>
    <w:rsid w:val="004472B9"/>
    <w:rsid w:val="004473D5"/>
    <w:rsid w:val="00450C15"/>
    <w:rsid w:val="004512BD"/>
    <w:rsid w:val="0045156B"/>
    <w:rsid w:val="004525A4"/>
    <w:rsid w:val="00452851"/>
    <w:rsid w:val="00453694"/>
    <w:rsid w:val="00453B00"/>
    <w:rsid w:val="00453C66"/>
    <w:rsid w:val="0045532B"/>
    <w:rsid w:val="004553B7"/>
    <w:rsid w:val="004623E2"/>
    <w:rsid w:val="004624AE"/>
    <w:rsid w:val="00463DFE"/>
    <w:rsid w:val="00466369"/>
    <w:rsid w:val="004677D1"/>
    <w:rsid w:val="00470AFD"/>
    <w:rsid w:val="00474689"/>
    <w:rsid w:val="004757E0"/>
    <w:rsid w:val="00475A4A"/>
    <w:rsid w:val="0047608E"/>
    <w:rsid w:val="00477A0F"/>
    <w:rsid w:val="0048042E"/>
    <w:rsid w:val="004816C7"/>
    <w:rsid w:val="00481FBD"/>
    <w:rsid w:val="00482AAF"/>
    <w:rsid w:val="00483516"/>
    <w:rsid w:val="0048399A"/>
    <w:rsid w:val="00484578"/>
    <w:rsid w:val="004853A3"/>
    <w:rsid w:val="004855F7"/>
    <w:rsid w:val="004864B5"/>
    <w:rsid w:val="00486626"/>
    <w:rsid w:val="00486DA5"/>
    <w:rsid w:val="00486F76"/>
    <w:rsid w:val="0048789A"/>
    <w:rsid w:val="00492A06"/>
    <w:rsid w:val="004946B5"/>
    <w:rsid w:val="0049530D"/>
    <w:rsid w:val="0049667F"/>
    <w:rsid w:val="00496B0D"/>
    <w:rsid w:val="00496F33"/>
    <w:rsid w:val="004A0647"/>
    <w:rsid w:val="004A08CE"/>
    <w:rsid w:val="004A2993"/>
    <w:rsid w:val="004A361B"/>
    <w:rsid w:val="004A46C0"/>
    <w:rsid w:val="004A54AE"/>
    <w:rsid w:val="004A6664"/>
    <w:rsid w:val="004B023C"/>
    <w:rsid w:val="004B0A08"/>
    <w:rsid w:val="004B169F"/>
    <w:rsid w:val="004B1B4A"/>
    <w:rsid w:val="004B2AEE"/>
    <w:rsid w:val="004B364C"/>
    <w:rsid w:val="004B4461"/>
    <w:rsid w:val="004B46F7"/>
    <w:rsid w:val="004B6C22"/>
    <w:rsid w:val="004B7854"/>
    <w:rsid w:val="004C00EC"/>
    <w:rsid w:val="004C0A28"/>
    <w:rsid w:val="004C1D9C"/>
    <w:rsid w:val="004C2488"/>
    <w:rsid w:val="004C3D44"/>
    <w:rsid w:val="004C407B"/>
    <w:rsid w:val="004C5540"/>
    <w:rsid w:val="004C58B3"/>
    <w:rsid w:val="004D0605"/>
    <w:rsid w:val="004D0C25"/>
    <w:rsid w:val="004D2766"/>
    <w:rsid w:val="004D3A52"/>
    <w:rsid w:val="004D3FA2"/>
    <w:rsid w:val="004D51F1"/>
    <w:rsid w:val="004D5561"/>
    <w:rsid w:val="004D6299"/>
    <w:rsid w:val="004D7C8E"/>
    <w:rsid w:val="004E0F88"/>
    <w:rsid w:val="004E2086"/>
    <w:rsid w:val="004E22C6"/>
    <w:rsid w:val="004E28AD"/>
    <w:rsid w:val="004E4A48"/>
    <w:rsid w:val="004E530E"/>
    <w:rsid w:val="004E6554"/>
    <w:rsid w:val="004E6689"/>
    <w:rsid w:val="004E7492"/>
    <w:rsid w:val="004E7538"/>
    <w:rsid w:val="004E7B14"/>
    <w:rsid w:val="004F048B"/>
    <w:rsid w:val="004F0B5F"/>
    <w:rsid w:val="004F0C87"/>
    <w:rsid w:val="004F1887"/>
    <w:rsid w:val="004F1DEC"/>
    <w:rsid w:val="004F20E0"/>
    <w:rsid w:val="004F358A"/>
    <w:rsid w:val="004F4415"/>
    <w:rsid w:val="004F62B6"/>
    <w:rsid w:val="004F68A6"/>
    <w:rsid w:val="004F70C1"/>
    <w:rsid w:val="004F71AB"/>
    <w:rsid w:val="004F7F77"/>
    <w:rsid w:val="00500D94"/>
    <w:rsid w:val="00501487"/>
    <w:rsid w:val="005021A0"/>
    <w:rsid w:val="005022E3"/>
    <w:rsid w:val="005022EE"/>
    <w:rsid w:val="00503D07"/>
    <w:rsid w:val="005044E3"/>
    <w:rsid w:val="005049BC"/>
    <w:rsid w:val="00504C17"/>
    <w:rsid w:val="00505FAA"/>
    <w:rsid w:val="005067B7"/>
    <w:rsid w:val="00506894"/>
    <w:rsid w:val="00507946"/>
    <w:rsid w:val="00510FB3"/>
    <w:rsid w:val="005125E7"/>
    <w:rsid w:val="005146D4"/>
    <w:rsid w:val="00516462"/>
    <w:rsid w:val="00517879"/>
    <w:rsid w:val="005214DA"/>
    <w:rsid w:val="00521959"/>
    <w:rsid w:val="00521A91"/>
    <w:rsid w:val="00521E69"/>
    <w:rsid w:val="005222C7"/>
    <w:rsid w:val="00525C4D"/>
    <w:rsid w:val="005264A0"/>
    <w:rsid w:val="005265A5"/>
    <w:rsid w:val="00532248"/>
    <w:rsid w:val="005325F6"/>
    <w:rsid w:val="00533A31"/>
    <w:rsid w:val="00533A82"/>
    <w:rsid w:val="00533B6B"/>
    <w:rsid w:val="0053428E"/>
    <w:rsid w:val="005346A3"/>
    <w:rsid w:val="00534CB7"/>
    <w:rsid w:val="005360E8"/>
    <w:rsid w:val="005361A2"/>
    <w:rsid w:val="00536B18"/>
    <w:rsid w:val="0054093E"/>
    <w:rsid w:val="00541183"/>
    <w:rsid w:val="005411DF"/>
    <w:rsid w:val="005412A6"/>
    <w:rsid w:val="00541FC0"/>
    <w:rsid w:val="0054398D"/>
    <w:rsid w:val="00544B16"/>
    <w:rsid w:val="005469AC"/>
    <w:rsid w:val="00546AF1"/>
    <w:rsid w:val="00547F18"/>
    <w:rsid w:val="005500B1"/>
    <w:rsid w:val="005501EE"/>
    <w:rsid w:val="00551868"/>
    <w:rsid w:val="00552DE7"/>
    <w:rsid w:val="00552FDB"/>
    <w:rsid w:val="005548E1"/>
    <w:rsid w:val="005570FA"/>
    <w:rsid w:val="00557975"/>
    <w:rsid w:val="00557E10"/>
    <w:rsid w:val="00561794"/>
    <w:rsid w:val="00562B86"/>
    <w:rsid w:val="00562D7A"/>
    <w:rsid w:val="00563183"/>
    <w:rsid w:val="00564025"/>
    <w:rsid w:val="00564B66"/>
    <w:rsid w:val="00564D7D"/>
    <w:rsid w:val="005655A5"/>
    <w:rsid w:val="00565A75"/>
    <w:rsid w:val="00565DAD"/>
    <w:rsid w:val="0056687E"/>
    <w:rsid w:val="00571C70"/>
    <w:rsid w:val="00575EFD"/>
    <w:rsid w:val="005763B0"/>
    <w:rsid w:val="00577795"/>
    <w:rsid w:val="00577B2A"/>
    <w:rsid w:val="00577FE2"/>
    <w:rsid w:val="005802B6"/>
    <w:rsid w:val="00580AEC"/>
    <w:rsid w:val="00580DC5"/>
    <w:rsid w:val="00580EF7"/>
    <w:rsid w:val="00581153"/>
    <w:rsid w:val="00585D6D"/>
    <w:rsid w:val="00586E3F"/>
    <w:rsid w:val="00590380"/>
    <w:rsid w:val="00590425"/>
    <w:rsid w:val="00590847"/>
    <w:rsid w:val="005922AD"/>
    <w:rsid w:val="00592393"/>
    <w:rsid w:val="005931CD"/>
    <w:rsid w:val="00593747"/>
    <w:rsid w:val="005A13B2"/>
    <w:rsid w:val="005A1C6E"/>
    <w:rsid w:val="005A2DE8"/>
    <w:rsid w:val="005A3189"/>
    <w:rsid w:val="005A3C9E"/>
    <w:rsid w:val="005A75CE"/>
    <w:rsid w:val="005A7FF7"/>
    <w:rsid w:val="005B03C3"/>
    <w:rsid w:val="005B05EA"/>
    <w:rsid w:val="005B08E8"/>
    <w:rsid w:val="005B0CF0"/>
    <w:rsid w:val="005B1556"/>
    <w:rsid w:val="005B15D2"/>
    <w:rsid w:val="005B2F0F"/>
    <w:rsid w:val="005B3192"/>
    <w:rsid w:val="005B4BFB"/>
    <w:rsid w:val="005B6F60"/>
    <w:rsid w:val="005B789B"/>
    <w:rsid w:val="005C0D88"/>
    <w:rsid w:val="005C18CB"/>
    <w:rsid w:val="005C1EBB"/>
    <w:rsid w:val="005C2D27"/>
    <w:rsid w:val="005C2E30"/>
    <w:rsid w:val="005C3CFC"/>
    <w:rsid w:val="005C7868"/>
    <w:rsid w:val="005D0853"/>
    <w:rsid w:val="005D2556"/>
    <w:rsid w:val="005D362E"/>
    <w:rsid w:val="005D3C05"/>
    <w:rsid w:val="005D3D4D"/>
    <w:rsid w:val="005D46A9"/>
    <w:rsid w:val="005D4869"/>
    <w:rsid w:val="005D6DAB"/>
    <w:rsid w:val="005D738A"/>
    <w:rsid w:val="005D77C0"/>
    <w:rsid w:val="005D7A66"/>
    <w:rsid w:val="005E0406"/>
    <w:rsid w:val="005E070D"/>
    <w:rsid w:val="005E1FB7"/>
    <w:rsid w:val="005E2B5E"/>
    <w:rsid w:val="005E2F94"/>
    <w:rsid w:val="005E3F84"/>
    <w:rsid w:val="005E4A33"/>
    <w:rsid w:val="005E5573"/>
    <w:rsid w:val="005E64C9"/>
    <w:rsid w:val="005E70FE"/>
    <w:rsid w:val="005F14CD"/>
    <w:rsid w:val="005F1598"/>
    <w:rsid w:val="005F1C7C"/>
    <w:rsid w:val="005F2A12"/>
    <w:rsid w:val="005F4323"/>
    <w:rsid w:val="005F4A8B"/>
    <w:rsid w:val="005F4E8B"/>
    <w:rsid w:val="005F6056"/>
    <w:rsid w:val="005F66F7"/>
    <w:rsid w:val="006001E9"/>
    <w:rsid w:val="006006A4"/>
    <w:rsid w:val="00600C00"/>
    <w:rsid w:val="00600DB2"/>
    <w:rsid w:val="00600EEC"/>
    <w:rsid w:val="00602046"/>
    <w:rsid w:val="00602119"/>
    <w:rsid w:val="00604823"/>
    <w:rsid w:val="006068DE"/>
    <w:rsid w:val="00606A75"/>
    <w:rsid w:val="00606AF6"/>
    <w:rsid w:val="00606CC9"/>
    <w:rsid w:val="00606E02"/>
    <w:rsid w:val="00611DFF"/>
    <w:rsid w:val="0061328E"/>
    <w:rsid w:val="00613585"/>
    <w:rsid w:val="006139B6"/>
    <w:rsid w:val="00614D44"/>
    <w:rsid w:val="00615FE5"/>
    <w:rsid w:val="00620E71"/>
    <w:rsid w:val="00621821"/>
    <w:rsid w:val="00621D37"/>
    <w:rsid w:val="00621DF6"/>
    <w:rsid w:val="00622987"/>
    <w:rsid w:val="00622DA9"/>
    <w:rsid w:val="00623DA9"/>
    <w:rsid w:val="00626D28"/>
    <w:rsid w:val="0062720E"/>
    <w:rsid w:val="00627F6A"/>
    <w:rsid w:val="00631F8D"/>
    <w:rsid w:val="006325F2"/>
    <w:rsid w:val="006326CA"/>
    <w:rsid w:val="00632789"/>
    <w:rsid w:val="00632FFC"/>
    <w:rsid w:val="00633D66"/>
    <w:rsid w:val="00634031"/>
    <w:rsid w:val="00634E0E"/>
    <w:rsid w:val="006358B9"/>
    <w:rsid w:val="00635AE9"/>
    <w:rsid w:val="00635B34"/>
    <w:rsid w:val="00635F62"/>
    <w:rsid w:val="006369E7"/>
    <w:rsid w:val="00640753"/>
    <w:rsid w:val="0064170D"/>
    <w:rsid w:val="00643C02"/>
    <w:rsid w:val="006451EF"/>
    <w:rsid w:val="00646037"/>
    <w:rsid w:val="006463D9"/>
    <w:rsid w:val="006465C2"/>
    <w:rsid w:val="0064667D"/>
    <w:rsid w:val="00647E46"/>
    <w:rsid w:val="00651D71"/>
    <w:rsid w:val="00651DBB"/>
    <w:rsid w:val="00652F3D"/>
    <w:rsid w:val="0065493E"/>
    <w:rsid w:val="00655BAA"/>
    <w:rsid w:val="00656022"/>
    <w:rsid w:val="006561DB"/>
    <w:rsid w:val="00656908"/>
    <w:rsid w:val="00661CA7"/>
    <w:rsid w:val="00662875"/>
    <w:rsid w:val="006659A9"/>
    <w:rsid w:val="0066618F"/>
    <w:rsid w:val="00666514"/>
    <w:rsid w:val="00666D7C"/>
    <w:rsid w:val="0066729D"/>
    <w:rsid w:val="00670C43"/>
    <w:rsid w:val="00671A92"/>
    <w:rsid w:val="00672BC9"/>
    <w:rsid w:val="00677B2D"/>
    <w:rsid w:val="00680400"/>
    <w:rsid w:val="00681ED0"/>
    <w:rsid w:val="00682027"/>
    <w:rsid w:val="00682C52"/>
    <w:rsid w:val="00682FB8"/>
    <w:rsid w:val="00684ED0"/>
    <w:rsid w:val="00686F40"/>
    <w:rsid w:val="0068756B"/>
    <w:rsid w:val="0068769F"/>
    <w:rsid w:val="00690DD6"/>
    <w:rsid w:val="006932F0"/>
    <w:rsid w:val="00693B2A"/>
    <w:rsid w:val="0069434D"/>
    <w:rsid w:val="0069438A"/>
    <w:rsid w:val="00694B9A"/>
    <w:rsid w:val="0069549C"/>
    <w:rsid w:val="00695589"/>
    <w:rsid w:val="006955C5"/>
    <w:rsid w:val="00695F10"/>
    <w:rsid w:val="006965A2"/>
    <w:rsid w:val="006966F9"/>
    <w:rsid w:val="00696B3E"/>
    <w:rsid w:val="00696E95"/>
    <w:rsid w:val="006A1B25"/>
    <w:rsid w:val="006A2C94"/>
    <w:rsid w:val="006A2D5A"/>
    <w:rsid w:val="006A3AD2"/>
    <w:rsid w:val="006A53A6"/>
    <w:rsid w:val="006A6E04"/>
    <w:rsid w:val="006A7961"/>
    <w:rsid w:val="006B00F5"/>
    <w:rsid w:val="006B0459"/>
    <w:rsid w:val="006B1868"/>
    <w:rsid w:val="006B242C"/>
    <w:rsid w:val="006B3C70"/>
    <w:rsid w:val="006B562D"/>
    <w:rsid w:val="006B5C24"/>
    <w:rsid w:val="006B60FE"/>
    <w:rsid w:val="006B6D38"/>
    <w:rsid w:val="006B758B"/>
    <w:rsid w:val="006B7DD5"/>
    <w:rsid w:val="006C066A"/>
    <w:rsid w:val="006C0B52"/>
    <w:rsid w:val="006C0EB1"/>
    <w:rsid w:val="006C159A"/>
    <w:rsid w:val="006C16A0"/>
    <w:rsid w:val="006C2593"/>
    <w:rsid w:val="006C2794"/>
    <w:rsid w:val="006C2FE1"/>
    <w:rsid w:val="006C34A2"/>
    <w:rsid w:val="006C40FF"/>
    <w:rsid w:val="006C48A0"/>
    <w:rsid w:val="006C50D6"/>
    <w:rsid w:val="006C5108"/>
    <w:rsid w:val="006C5134"/>
    <w:rsid w:val="006C58BE"/>
    <w:rsid w:val="006C5C93"/>
    <w:rsid w:val="006C6D97"/>
    <w:rsid w:val="006D014F"/>
    <w:rsid w:val="006D18C2"/>
    <w:rsid w:val="006D1904"/>
    <w:rsid w:val="006D2309"/>
    <w:rsid w:val="006D2428"/>
    <w:rsid w:val="006D332A"/>
    <w:rsid w:val="006D3EDB"/>
    <w:rsid w:val="006D4114"/>
    <w:rsid w:val="006D4C7B"/>
    <w:rsid w:val="006D5305"/>
    <w:rsid w:val="006D55CE"/>
    <w:rsid w:val="006D6231"/>
    <w:rsid w:val="006D7013"/>
    <w:rsid w:val="006D7159"/>
    <w:rsid w:val="006D76F6"/>
    <w:rsid w:val="006E00BB"/>
    <w:rsid w:val="006E09D5"/>
    <w:rsid w:val="006E1BF9"/>
    <w:rsid w:val="006E2130"/>
    <w:rsid w:val="006E2533"/>
    <w:rsid w:val="006E26DC"/>
    <w:rsid w:val="006E427C"/>
    <w:rsid w:val="006E4EBA"/>
    <w:rsid w:val="006E4FAF"/>
    <w:rsid w:val="006E61CD"/>
    <w:rsid w:val="006E62CF"/>
    <w:rsid w:val="006E7AF7"/>
    <w:rsid w:val="006E7D2B"/>
    <w:rsid w:val="006F0BE3"/>
    <w:rsid w:val="006F1496"/>
    <w:rsid w:val="006F18D5"/>
    <w:rsid w:val="006F1CF9"/>
    <w:rsid w:val="006F2101"/>
    <w:rsid w:val="006F236F"/>
    <w:rsid w:val="006F2433"/>
    <w:rsid w:val="006F2C4F"/>
    <w:rsid w:val="006F2D5E"/>
    <w:rsid w:val="006F4A97"/>
    <w:rsid w:val="006F4D8E"/>
    <w:rsid w:val="006F54F0"/>
    <w:rsid w:val="006F73F5"/>
    <w:rsid w:val="006F752B"/>
    <w:rsid w:val="006F756A"/>
    <w:rsid w:val="006F7EA8"/>
    <w:rsid w:val="0070050B"/>
    <w:rsid w:val="0070144B"/>
    <w:rsid w:val="0070436B"/>
    <w:rsid w:val="007049B2"/>
    <w:rsid w:val="00705890"/>
    <w:rsid w:val="007059A3"/>
    <w:rsid w:val="00705F01"/>
    <w:rsid w:val="00707599"/>
    <w:rsid w:val="007075F0"/>
    <w:rsid w:val="00710A87"/>
    <w:rsid w:val="007121FE"/>
    <w:rsid w:val="00712634"/>
    <w:rsid w:val="00713ED5"/>
    <w:rsid w:val="00714808"/>
    <w:rsid w:val="00714865"/>
    <w:rsid w:val="00714BA0"/>
    <w:rsid w:val="0071544C"/>
    <w:rsid w:val="00716A77"/>
    <w:rsid w:val="00717025"/>
    <w:rsid w:val="00720C2A"/>
    <w:rsid w:val="0072108E"/>
    <w:rsid w:val="00722E74"/>
    <w:rsid w:val="00723429"/>
    <w:rsid w:val="00723819"/>
    <w:rsid w:val="0072435B"/>
    <w:rsid w:val="0072443E"/>
    <w:rsid w:val="00724B86"/>
    <w:rsid w:val="00726890"/>
    <w:rsid w:val="00726D1B"/>
    <w:rsid w:val="00727357"/>
    <w:rsid w:val="0072776C"/>
    <w:rsid w:val="0072792D"/>
    <w:rsid w:val="00730F65"/>
    <w:rsid w:val="00733CC0"/>
    <w:rsid w:val="00734133"/>
    <w:rsid w:val="007345D4"/>
    <w:rsid w:val="00735EA8"/>
    <w:rsid w:val="0073775D"/>
    <w:rsid w:val="00740AF3"/>
    <w:rsid w:val="00741CDE"/>
    <w:rsid w:val="00742005"/>
    <w:rsid w:val="00742246"/>
    <w:rsid w:val="007426EE"/>
    <w:rsid w:val="00743FB3"/>
    <w:rsid w:val="007445FA"/>
    <w:rsid w:val="00744BB1"/>
    <w:rsid w:val="007458F7"/>
    <w:rsid w:val="00747B58"/>
    <w:rsid w:val="00750783"/>
    <w:rsid w:val="00751F5B"/>
    <w:rsid w:val="00752438"/>
    <w:rsid w:val="0075247E"/>
    <w:rsid w:val="00752BB9"/>
    <w:rsid w:val="007541CE"/>
    <w:rsid w:val="007548B0"/>
    <w:rsid w:val="0075554A"/>
    <w:rsid w:val="007559F6"/>
    <w:rsid w:val="00756886"/>
    <w:rsid w:val="007571E6"/>
    <w:rsid w:val="007572B4"/>
    <w:rsid w:val="0076021D"/>
    <w:rsid w:val="007605CD"/>
    <w:rsid w:val="00760E58"/>
    <w:rsid w:val="00763248"/>
    <w:rsid w:val="007635D6"/>
    <w:rsid w:val="0076399E"/>
    <w:rsid w:val="00763A89"/>
    <w:rsid w:val="007644E6"/>
    <w:rsid w:val="00765B35"/>
    <w:rsid w:val="00766E20"/>
    <w:rsid w:val="007730B8"/>
    <w:rsid w:val="00773786"/>
    <w:rsid w:val="00775792"/>
    <w:rsid w:val="007778DD"/>
    <w:rsid w:val="00777FDA"/>
    <w:rsid w:val="00780AE9"/>
    <w:rsid w:val="0078427E"/>
    <w:rsid w:val="00785E28"/>
    <w:rsid w:val="007871F9"/>
    <w:rsid w:val="0078742F"/>
    <w:rsid w:val="00787719"/>
    <w:rsid w:val="00787983"/>
    <w:rsid w:val="007909E0"/>
    <w:rsid w:val="007910A0"/>
    <w:rsid w:val="007922F9"/>
    <w:rsid w:val="00793A02"/>
    <w:rsid w:val="00794C10"/>
    <w:rsid w:val="0079500A"/>
    <w:rsid w:val="007953A4"/>
    <w:rsid w:val="00795C19"/>
    <w:rsid w:val="0079650E"/>
    <w:rsid w:val="00796D65"/>
    <w:rsid w:val="00797372"/>
    <w:rsid w:val="007A2192"/>
    <w:rsid w:val="007A22B0"/>
    <w:rsid w:val="007A41B5"/>
    <w:rsid w:val="007A4284"/>
    <w:rsid w:val="007A512E"/>
    <w:rsid w:val="007A6B8A"/>
    <w:rsid w:val="007B07B7"/>
    <w:rsid w:val="007B150B"/>
    <w:rsid w:val="007B2606"/>
    <w:rsid w:val="007B2C76"/>
    <w:rsid w:val="007B352F"/>
    <w:rsid w:val="007B3614"/>
    <w:rsid w:val="007B59D1"/>
    <w:rsid w:val="007B6277"/>
    <w:rsid w:val="007B688C"/>
    <w:rsid w:val="007C2768"/>
    <w:rsid w:val="007C3369"/>
    <w:rsid w:val="007C3A93"/>
    <w:rsid w:val="007C3AB3"/>
    <w:rsid w:val="007C3AD8"/>
    <w:rsid w:val="007C49C2"/>
    <w:rsid w:val="007C5BA7"/>
    <w:rsid w:val="007C64D4"/>
    <w:rsid w:val="007C67B7"/>
    <w:rsid w:val="007C68FB"/>
    <w:rsid w:val="007D11A5"/>
    <w:rsid w:val="007D1454"/>
    <w:rsid w:val="007D24E6"/>
    <w:rsid w:val="007D4854"/>
    <w:rsid w:val="007D4E1C"/>
    <w:rsid w:val="007D5655"/>
    <w:rsid w:val="007D5C8E"/>
    <w:rsid w:val="007D5CA9"/>
    <w:rsid w:val="007D6F0F"/>
    <w:rsid w:val="007D73FF"/>
    <w:rsid w:val="007D7FFC"/>
    <w:rsid w:val="007E0DF7"/>
    <w:rsid w:val="007E37C7"/>
    <w:rsid w:val="007E3D0E"/>
    <w:rsid w:val="007E61BB"/>
    <w:rsid w:val="007E6214"/>
    <w:rsid w:val="007E6B26"/>
    <w:rsid w:val="007F12B6"/>
    <w:rsid w:val="007F1C09"/>
    <w:rsid w:val="007F1ECD"/>
    <w:rsid w:val="007F2593"/>
    <w:rsid w:val="007F3661"/>
    <w:rsid w:val="007F4879"/>
    <w:rsid w:val="007F49DE"/>
    <w:rsid w:val="007F4B6C"/>
    <w:rsid w:val="007F551A"/>
    <w:rsid w:val="007F5846"/>
    <w:rsid w:val="00800450"/>
    <w:rsid w:val="00801375"/>
    <w:rsid w:val="0080165D"/>
    <w:rsid w:val="008019F7"/>
    <w:rsid w:val="008042AD"/>
    <w:rsid w:val="00805188"/>
    <w:rsid w:val="0081003F"/>
    <w:rsid w:val="00812C2D"/>
    <w:rsid w:val="00812E8C"/>
    <w:rsid w:val="008134E1"/>
    <w:rsid w:val="008136F3"/>
    <w:rsid w:val="0081484C"/>
    <w:rsid w:val="00817923"/>
    <w:rsid w:val="00820333"/>
    <w:rsid w:val="0082079D"/>
    <w:rsid w:val="00820827"/>
    <w:rsid w:val="00820C63"/>
    <w:rsid w:val="00821EE6"/>
    <w:rsid w:val="008242F2"/>
    <w:rsid w:val="00825AB4"/>
    <w:rsid w:val="00830543"/>
    <w:rsid w:val="008311B0"/>
    <w:rsid w:val="008319DF"/>
    <w:rsid w:val="008338F8"/>
    <w:rsid w:val="00835241"/>
    <w:rsid w:val="0083751F"/>
    <w:rsid w:val="0084038C"/>
    <w:rsid w:val="008409AF"/>
    <w:rsid w:val="00843073"/>
    <w:rsid w:val="0084602E"/>
    <w:rsid w:val="00846620"/>
    <w:rsid w:val="00846C82"/>
    <w:rsid w:val="008475C6"/>
    <w:rsid w:val="008502E8"/>
    <w:rsid w:val="0085048F"/>
    <w:rsid w:val="00851922"/>
    <w:rsid w:val="00853533"/>
    <w:rsid w:val="00853F34"/>
    <w:rsid w:val="00854078"/>
    <w:rsid w:val="008540C3"/>
    <w:rsid w:val="008558A8"/>
    <w:rsid w:val="00856105"/>
    <w:rsid w:val="00856C10"/>
    <w:rsid w:val="00857126"/>
    <w:rsid w:val="00857610"/>
    <w:rsid w:val="0086017B"/>
    <w:rsid w:val="008604F0"/>
    <w:rsid w:val="00861AC9"/>
    <w:rsid w:val="008631BF"/>
    <w:rsid w:val="0086419E"/>
    <w:rsid w:val="0086438A"/>
    <w:rsid w:val="00864414"/>
    <w:rsid w:val="00864D09"/>
    <w:rsid w:val="008665E4"/>
    <w:rsid w:val="00870A99"/>
    <w:rsid w:val="00871955"/>
    <w:rsid w:val="00871C78"/>
    <w:rsid w:val="008722CC"/>
    <w:rsid w:val="0087327D"/>
    <w:rsid w:val="00873390"/>
    <w:rsid w:val="008737C0"/>
    <w:rsid w:val="00874B3D"/>
    <w:rsid w:val="00875887"/>
    <w:rsid w:val="0087693E"/>
    <w:rsid w:val="00877BC8"/>
    <w:rsid w:val="008802A7"/>
    <w:rsid w:val="00880D52"/>
    <w:rsid w:val="0088288B"/>
    <w:rsid w:val="00883314"/>
    <w:rsid w:val="00883686"/>
    <w:rsid w:val="00885220"/>
    <w:rsid w:val="00885D54"/>
    <w:rsid w:val="00886067"/>
    <w:rsid w:val="00887506"/>
    <w:rsid w:val="00887F9E"/>
    <w:rsid w:val="00890105"/>
    <w:rsid w:val="008914EC"/>
    <w:rsid w:val="00894B10"/>
    <w:rsid w:val="0089567B"/>
    <w:rsid w:val="008959C1"/>
    <w:rsid w:val="00895E67"/>
    <w:rsid w:val="00896354"/>
    <w:rsid w:val="00896A14"/>
    <w:rsid w:val="00897443"/>
    <w:rsid w:val="00897784"/>
    <w:rsid w:val="00897818"/>
    <w:rsid w:val="008A4DB5"/>
    <w:rsid w:val="008A5184"/>
    <w:rsid w:val="008A5BBD"/>
    <w:rsid w:val="008A6230"/>
    <w:rsid w:val="008A7D1B"/>
    <w:rsid w:val="008A7E03"/>
    <w:rsid w:val="008A7E6B"/>
    <w:rsid w:val="008B0110"/>
    <w:rsid w:val="008B155E"/>
    <w:rsid w:val="008B1E4E"/>
    <w:rsid w:val="008B51A5"/>
    <w:rsid w:val="008B5765"/>
    <w:rsid w:val="008B58EF"/>
    <w:rsid w:val="008B5A98"/>
    <w:rsid w:val="008C11E8"/>
    <w:rsid w:val="008C16D3"/>
    <w:rsid w:val="008C43A0"/>
    <w:rsid w:val="008C5A05"/>
    <w:rsid w:val="008C6B5D"/>
    <w:rsid w:val="008C6E68"/>
    <w:rsid w:val="008D0466"/>
    <w:rsid w:val="008D1C1E"/>
    <w:rsid w:val="008D2BB3"/>
    <w:rsid w:val="008D3E8F"/>
    <w:rsid w:val="008D609D"/>
    <w:rsid w:val="008D629A"/>
    <w:rsid w:val="008D78B3"/>
    <w:rsid w:val="008D7CF9"/>
    <w:rsid w:val="008E045A"/>
    <w:rsid w:val="008E25B6"/>
    <w:rsid w:val="008E2D11"/>
    <w:rsid w:val="008E326D"/>
    <w:rsid w:val="008E3F00"/>
    <w:rsid w:val="008E4B6A"/>
    <w:rsid w:val="008E54E6"/>
    <w:rsid w:val="008E5524"/>
    <w:rsid w:val="008E572C"/>
    <w:rsid w:val="008E75CD"/>
    <w:rsid w:val="008E7D01"/>
    <w:rsid w:val="008F063E"/>
    <w:rsid w:val="008F0D2F"/>
    <w:rsid w:val="008F12C9"/>
    <w:rsid w:val="008F2FCD"/>
    <w:rsid w:val="008F3BA9"/>
    <w:rsid w:val="008F3DBC"/>
    <w:rsid w:val="008F5418"/>
    <w:rsid w:val="008F5BF9"/>
    <w:rsid w:val="008F7056"/>
    <w:rsid w:val="008F74E4"/>
    <w:rsid w:val="008F76DA"/>
    <w:rsid w:val="00900E8E"/>
    <w:rsid w:val="00900FB5"/>
    <w:rsid w:val="009014D9"/>
    <w:rsid w:val="00902A99"/>
    <w:rsid w:val="00903134"/>
    <w:rsid w:val="009045DE"/>
    <w:rsid w:val="00904ABB"/>
    <w:rsid w:val="00904B05"/>
    <w:rsid w:val="00905579"/>
    <w:rsid w:val="00905B04"/>
    <w:rsid w:val="009101D4"/>
    <w:rsid w:val="0091412C"/>
    <w:rsid w:val="009167AA"/>
    <w:rsid w:val="00916C4F"/>
    <w:rsid w:val="009178F2"/>
    <w:rsid w:val="00920202"/>
    <w:rsid w:val="009209D3"/>
    <w:rsid w:val="00921A23"/>
    <w:rsid w:val="00922AE7"/>
    <w:rsid w:val="00924D1D"/>
    <w:rsid w:val="00924ECB"/>
    <w:rsid w:val="009252D7"/>
    <w:rsid w:val="00927313"/>
    <w:rsid w:val="00927E17"/>
    <w:rsid w:val="00931E10"/>
    <w:rsid w:val="0093240D"/>
    <w:rsid w:val="009328DE"/>
    <w:rsid w:val="00932ED9"/>
    <w:rsid w:val="009333E3"/>
    <w:rsid w:val="009336E6"/>
    <w:rsid w:val="009356AD"/>
    <w:rsid w:val="00936AAA"/>
    <w:rsid w:val="009377D7"/>
    <w:rsid w:val="009431EF"/>
    <w:rsid w:val="00945455"/>
    <w:rsid w:val="009454A0"/>
    <w:rsid w:val="00945886"/>
    <w:rsid w:val="00945F95"/>
    <w:rsid w:val="00946386"/>
    <w:rsid w:val="00946E63"/>
    <w:rsid w:val="00950F93"/>
    <w:rsid w:val="0095176F"/>
    <w:rsid w:val="00952321"/>
    <w:rsid w:val="00952F59"/>
    <w:rsid w:val="00953511"/>
    <w:rsid w:val="0095449E"/>
    <w:rsid w:val="00954772"/>
    <w:rsid w:val="00954DB9"/>
    <w:rsid w:val="009550BC"/>
    <w:rsid w:val="00955320"/>
    <w:rsid w:val="00956167"/>
    <w:rsid w:val="0095785A"/>
    <w:rsid w:val="00957DC3"/>
    <w:rsid w:val="00957F8F"/>
    <w:rsid w:val="00962186"/>
    <w:rsid w:val="00962FD3"/>
    <w:rsid w:val="009636BF"/>
    <w:rsid w:val="00963E39"/>
    <w:rsid w:val="009655B6"/>
    <w:rsid w:val="00966D2F"/>
    <w:rsid w:val="0096741A"/>
    <w:rsid w:val="00970E4B"/>
    <w:rsid w:val="00972D92"/>
    <w:rsid w:val="0097308B"/>
    <w:rsid w:val="00973A4A"/>
    <w:rsid w:val="009743B6"/>
    <w:rsid w:val="0097446C"/>
    <w:rsid w:val="00975421"/>
    <w:rsid w:val="009754EA"/>
    <w:rsid w:val="00975CEF"/>
    <w:rsid w:val="009777D3"/>
    <w:rsid w:val="00980206"/>
    <w:rsid w:val="009815D5"/>
    <w:rsid w:val="00981A3F"/>
    <w:rsid w:val="009837A0"/>
    <w:rsid w:val="00984240"/>
    <w:rsid w:val="00984A89"/>
    <w:rsid w:val="00987DDB"/>
    <w:rsid w:val="00991729"/>
    <w:rsid w:val="00993A4B"/>
    <w:rsid w:val="0099410B"/>
    <w:rsid w:val="00995F5F"/>
    <w:rsid w:val="009A0220"/>
    <w:rsid w:val="009A0BC4"/>
    <w:rsid w:val="009A18F7"/>
    <w:rsid w:val="009A1BDC"/>
    <w:rsid w:val="009A1E51"/>
    <w:rsid w:val="009A50BB"/>
    <w:rsid w:val="009A518F"/>
    <w:rsid w:val="009A59F3"/>
    <w:rsid w:val="009A601A"/>
    <w:rsid w:val="009B065B"/>
    <w:rsid w:val="009B0AE6"/>
    <w:rsid w:val="009B1292"/>
    <w:rsid w:val="009B1531"/>
    <w:rsid w:val="009B25D1"/>
    <w:rsid w:val="009B2E8B"/>
    <w:rsid w:val="009B4B9D"/>
    <w:rsid w:val="009B4ECA"/>
    <w:rsid w:val="009B7754"/>
    <w:rsid w:val="009C034A"/>
    <w:rsid w:val="009C1039"/>
    <w:rsid w:val="009C1C15"/>
    <w:rsid w:val="009C401A"/>
    <w:rsid w:val="009C4AD0"/>
    <w:rsid w:val="009C6393"/>
    <w:rsid w:val="009C64EA"/>
    <w:rsid w:val="009C66AD"/>
    <w:rsid w:val="009D0064"/>
    <w:rsid w:val="009D0E22"/>
    <w:rsid w:val="009D1B9D"/>
    <w:rsid w:val="009D2449"/>
    <w:rsid w:val="009D26F0"/>
    <w:rsid w:val="009D5471"/>
    <w:rsid w:val="009D5B9E"/>
    <w:rsid w:val="009D6D1E"/>
    <w:rsid w:val="009D7330"/>
    <w:rsid w:val="009D7333"/>
    <w:rsid w:val="009D7936"/>
    <w:rsid w:val="009E0483"/>
    <w:rsid w:val="009E144A"/>
    <w:rsid w:val="009E3018"/>
    <w:rsid w:val="009E3B51"/>
    <w:rsid w:val="009E4370"/>
    <w:rsid w:val="009E457E"/>
    <w:rsid w:val="009E69F5"/>
    <w:rsid w:val="009F0245"/>
    <w:rsid w:val="009F12B6"/>
    <w:rsid w:val="009F2018"/>
    <w:rsid w:val="009F2C4F"/>
    <w:rsid w:val="009F3704"/>
    <w:rsid w:val="009F3C18"/>
    <w:rsid w:val="009F3E96"/>
    <w:rsid w:val="009F4C3D"/>
    <w:rsid w:val="009F5E2F"/>
    <w:rsid w:val="009F707D"/>
    <w:rsid w:val="009F7AAD"/>
    <w:rsid w:val="00A0489A"/>
    <w:rsid w:val="00A04D02"/>
    <w:rsid w:val="00A056A1"/>
    <w:rsid w:val="00A05F92"/>
    <w:rsid w:val="00A07C3F"/>
    <w:rsid w:val="00A10460"/>
    <w:rsid w:val="00A11036"/>
    <w:rsid w:val="00A11373"/>
    <w:rsid w:val="00A113E8"/>
    <w:rsid w:val="00A1177C"/>
    <w:rsid w:val="00A12674"/>
    <w:rsid w:val="00A128B5"/>
    <w:rsid w:val="00A12C85"/>
    <w:rsid w:val="00A12E0C"/>
    <w:rsid w:val="00A14193"/>
    <w:rsid w:val="00A153BD"/>
    <w:rsid w:val="00A15FA8"/>
    <w:rsid w:val="00A20443"/>
    <w:rsid w:val="00A2145E"/>
    <w:rsid w:val="00A21BAE"/>
    <w:rsid w:val="00A221F1"/>
    <w:rsid w:val="00A222AF"/>
    <w:rsid w:val="00A22FF0"/>
    <w:rsid w:val="00A2326D"/>
    <w:rsid w:val="00A23304"/>
    <w:rsid w:val="00A25FD6"/>
    <w:rsid w:val="00A2736C"/>
    <w:rsid w:val="00A30243"/>
    <w:rsid w:val="00A32DB7"/>
    <w:rsid w:val="00A332C6"/>
    <w:rsid w:val="00A333F5"/>
    <w:rsid w:val="00A335A6"/>
    <w:rsid w:val="00A33702"/>
    <w:rsid w:val="00A34690"/>
    <w:rsid w:val="00A4115D"/>
    <w:rsid w:val="00A41269"/>
    <w:rsid w:val="00A429CD"/>
    <w:rsid w:val="00A429CE"/>
    <w:rsid w:val="00A43205"/>
    <w:rsid w:val="00A43BDE"/>
    <w:rsid w:val="00A457C4"/>
    <w:rsid w:val="00A46523"/>
    <w:rsid w:val="00A474FC"/>
    <w:rsid w:val="00A4757A"/>
    <w:rsid w:val="00A50142"/>
    <w:rsid w:val="00A503E9"/>
    <w:rsid w:val="00A50ADF"/>
    <w:rsid w:val="00A522F8"/>
    <w:rsid w:val="00A526F5"/>
    <w:rsid w:val="00A52CD1"/>
    <w:rsid w:val="00A53125"/>
    <w:rsid w:val="00A5317E"/>
    <w:rsid w:val="00A53581"/>
    <w:rsid w:val="00A5377F"/>
    <w:rsid w:val="00A53F4D"/>
    <w:rsid w:val="00A54670"/>
    <w:rsid w:val="00A54E09"/>
    <w:rsid w:val="00A54FC4"/>
    <w:rsid w:val="00A55BA6"/>
    <w:rsid w:val="00A565F7"/>
    <w:rsid w:val="00A575F0"/>
    <w:rsid w:val="00A60C2B"/>
    <w:rsid w:val="00A61488"/>
    <w:rsid w:val="00A61D7A"/>
    <w:rsid w:val="00A627C9"/>
    <w:rsid w:val="00A62A0C"/>
    <w:rsid w:val="00A63048"/>
    <w:rsid w:val="00A635FB"/>
    <w:rsid w:val="00A63B02"/>
    <w:rsid w:val="00A63CD4"/>
    <w:rsid w:val="00A640BA"/>
    <w:rsid w:val="00A64911"/>
    <w:rsid w:val="00A655AE"/>
    <w:rsid w:val="00A702B4"/>
    <w:rsid w:val="00A70D11"/>
    <w:rsid w:val="00A70EC7"/>
    <w:rsid w:val="00A7218A"/>
    <w:rsid w:val="00A73A26"/>
    <w:rsid w:val="00A74157"/>
    <w:rsid w:val="00A7494D"/>
    <w:rsid w:val="00A7569D"/>
    <w:rsid w:val="00A75A74"/>
    <w:rsid w:val="00A77E0B"/>
    <w:rsid w:val="00A82487"/>
    <w:rsid w:val="00A826F0"/>
    <w:rsid w:val="00A82C97"/>
    <w:rsid w:val="00A83282"/>
    <w:rsid w:val="00A907E0"/>
    <w:rsid w:val="00A90ACA"/>
    <w:rsid w:val="00A948F5"/>
    <w:rsid w:val="00A94EC4"/>
    <w:rsid w:val="00A977FB"/>
    <w:rsid w:val="00A97ABC"/>
    <w:rsid w:val="00A97DFA"/>
    <w:rsid w:val="00AA005C"/>
    <w:rsid w:val="00AA051D"/>
    <w:rsid w:val="00AA081E"/>
    <w:rsid w:val="00AA1E76"/>
    <w:rsid w:val="00AA2DFE"/>
    <w:rsid w:val="00AA4054"/>
    <w:rsid w:val="00AA44A1"/>
    <w:rsid w:val="00AA44FF"/>
    <w:rsid w:val="00AA60D4"/>
    <w:rsid w:val="00AA6522"/>
    <w:rsid w:val="00AA6E5A"/>
    <w:rsid w:val="00AA71F8"/>
    <w:rsid w:val="00AB0AF2"/>
    <w:rsid w:val="00AB0D46"/>
    <w:rsid w:val="00AB3408"/>
    <w:rsid w:val="00AB38B1"/>
    <w:rsid w:val="00AB3915"/>
    <w:rsid w:val="00AB4011"/>
    <w:rsid w:val="00AB4657"/>
    <w:rsid w:val="00AB4660"/>
    <w:rsid w:val="00AB4E50"/>
    <w:rsid w:val="00AB5508"/>
    <w:rsid w:val="00AB5CFB"/>
    <w:rsid w:val="00AB692B"/>
    <w:rsid w:val="00AB7BC1"/>
    <w:rsid w:val="00AC2DB8"/>
    <w:rsid w:val="00AC48D5"/>
    <w:rsid w:val="00AC5CB1"/>
    <w:rsid w:val="00AC5D28"/>
    <w:rsid w:val="00AC5E37"/>
    <w:rsid w:val="00AC6991"/>
    <w:rsid w:val="00AC72D9"/>
    <w:rsid w:val="00AC778C"/>
    <w:rsid w:val="00AC7FE8"/>
    <w:rsid w:val="00AD05D3"/>
    <w:rsid w:val="00AD0A69"/>
    <w:rsid w:val="00AD1E2A"/>
    <w:rsid w:val="00AD23E8"/>
    <w:rsid w:val="00AD3586"/>
    <w:rsid w:val="00AD3672"/>
    <w:rsid w:val="00AD39CF"/>
    <w:rsid w:val="00AD61F2"/>
    <w:rsid w:val="00AD6D7F"/>
    <w:rsid w:val="00AD7B25"/>
    <w:rsid w:val="00AE014F"/>
    <w:rsid w:val="00AE22E1"/>
    <w:rsid w:val="00AE31F6"/>
    <w:rsid w:val="00AE341E"/>
    <w:rsid w:val="00AE474A"/>
    <w:rsid w:val="00AE5088"/>
    <w:rsid w:val="00AE525F"/>
    <w:rsid w:val="00AE57F7"/>
    <w:rsid w:val="00AE5973"/>
    <w:rsid w:val="00AE5C9E"/>
    <w:rsid w:val="00AE7464"/>
    <w:rsid w:val="00AE7A81"/>
    <w:rsid w:val="00AE7BAE"/>
    <w:rsid w:val="00AF1488"/>
    <w:rsid w:val="00AF4EE0"/>
    <w:rsid w:val="00AF6A9D"/>
    <w:rsid w:val="00AF7A7C"/>
    <w:rsid w:val="00B01309"/>
    <w:rsid w:val="00B01BA3"/>
    <w:rsid w:val="00B06728"/>
    <w:rsid w:val="00B06C05"/>
    <w:rsid w:val="00B07FA4"/>
    <w:rsid w:val="00B10F72"/>
    <w:rsid w:val="00B11ED8"/>
    <w:rsid w:val="00B13063"/>
    <w:rsid w:val="00B13903"/>
    <w:rsid w:val="00B139ED"/>
    <w:rsid w:val="00B15F34"/>
    <w:rsid w:val="00B16D36"/>
    <w:rsid w:val="00B22B0C"/>
    <w:rsid w:val="00B241B9"/>
    <w:rsid w:val="00B24B2A"/>
    <w:rsid w:val="00B272EB"/>
    <w:rsid w:val="00B30E46"/>
    <w:rsid w:val="00B31716"/>
    <w:rsid w:val="00B33CE2"/>
    <w:rsid w:val="00B33F25"/>
    <w:rsid w:val="00B37563"/>
    <w:rsid w:val="00B401B2"/>
    <w:rsid w:val="00B4041C"/>
    <w:rsid w:val="00B404AB"/>
    <w:rsid w:val="00B41E18"/>
    <w:rsid w:val="00B41FF9"/>
    <w:rsid w:val="00B434C5"/>
    <w:rsid w:val="00B4608D"/>
    <w:rsid w:val="00B46768"/>
    <w:rsid w:val="00B472FC"/>
    <w:rsid w:val="00B47FC5"/>
    <w:rsid w:val="00B5013A"/>
    <w:rsid w:val="00B5181D"/>
    <w:rsid w:val="00B53098"/>
    <w:rsid w:val="00B53E6F"/>
    <w:rsid w:val="00B56510"/>
    <w:rsid w:val="00B567D3"/>
    <w:rsid w:val="00B56837"/>
    <w:rsid w:val="00B6148D"/>
    <w:rsid w:val="00B61D9A"/>
    <w:rsid w:val="00B621AC"/>
    <w:rsid w:val="00B62920"/>
    <w:rsid w:val="00B635B0"/>
    <w:rsid w:val="00B657FD"/>
    <w:rsid w:val="00B66D18"/>
    <w:rsid w:val="00B673DD"/>
    <w:rsid w:val="00B67FF9"/>
    <w:rsid w:val="00B70ABB"/>
    <w:rsid w:val="00B71F1C"/>
    <w:rsid w:val="00B74276"/>
    <w:rsid w:val="00B7452A"/>
    <w:rsid w:val="00B75093"/>
    <w:rsid w:val="00B7516A"/>
    <w:rsid w:val="00B7557F"/>
    <w:rsid w:val="00B75F35"/>
    <w:rsid w:val="00B772D2"/>
    <w:rsid w:val="00B77446"/>
    <w:rsid w:val="00B80403"/>
    <w:rsid w:val="00B813E9"/>
    <w:rsid w:val="00B81479"/>
    <w:rsid w:val="00B8230C"/>
    <w:rsid w:val="00B82D6E"/>
    <w:rsid w:val="00B833F3"/>
    <w:rsid w:val="00B83539"/>
    <w:rsid w:val="00B83896"/>
    <w:rsid w:val="00B862AA"/>
    <w:rsid w:val="00B91A30"/>
    <w:rsid w:val="00B91AB7"/>
    <w:rsid w:val="00B91B38"/>
    <w:rsid w:val="00B9230E"/>
    <w:rsid w:val="00B9307C"/>
    <w:rsid w:val="00B93A6D"/>
    <w:rsid w:val="00B95A3C"/>
    <w:rsid w:val="00B9669D"/>
    <w:rsid w:val="00B976C4"/>
    <w:rsid w:val="00B97A29"/>
    <w:rsid w:val="00BA0AA2"/>
    <w:rsid w:val="00BA18EA"/>
    <w:rsid w:val="00BA1CB7"/>
    <w:rsid w:val="00BA2ECB"/>
    <w:rsid w:val="00BA311A"/>
    <w:rsid w:val="00BA3FDB"/>
    <w:rsid w:val="00BA471C"/>
    <w:rsid w:val="00BA4AF5"/>
    <w:rsid w:val="00BA5B54"/>
    <w:rsid w:val="00BA5D6C"/>
    <w:rsid w:val="00BA60FE"/>
    <w:rsid w:val="00BA6483"/>
    <w:rsid w:val="00BA65AA"/>
    <w:rsid w:val="00BB17DA"/>
    <w:rsid w:val="00BB2AC2"/>
    <w:rsid w:val="00BB2D61"/>
    <w:rsid w:val="00BB4F61"/>
    <w:rsid w:val="00BB555C"/>
    <w:rsid w:val="00BB58D4"/>
    <w:rsid w:val="00BB7A87"/>
    <w:rsid w:val="00BC1210"/>
    <w:rsid w:val="00BC1418"/>
    <w:rsid w:val="00BC24F6"/>
    <w:rsid w:val="00BC368D"/>
    <w:rsid w:val="00BC3A62"/>
    <w:rsid w:val="00BC48A7"/>
    <w:rsid w:val="00BC630F"/>
    <w:rsid w:val="00BC6377"/>
    <w:rsid w:val="00BC6D59"/>
    <w:rsid w:val="00BC77FF"/>
    <w:rsid w:val="00BD024F"/>
    <w:rsid w:val="00BD0D2F"/>
    <w:rsid w:val="00BD1A0C"/>
    <w:rsid w:val="00BD1ACD"/>
    <w:rsid w:val="00BD249E"/>
    <w:rsid w:val="00BD30FC"/>
    <w:rsid w:val="00BD3A39"/>
    <w:rsid w:val="00BD430E"/>
    <w:rsid w:val="00BD4564"/>
    <w:rsid w:val="00BD5C03"/>
    <w:rsid w:val="00BD69E3"/>
    <w:rsid w:val="00BD780B"/>
    <w:rsid w:val="00BD7A2A"/>
    <w:rsid w:val="00BD7BBD"/>
    <w:rsid w:val="00BE0C05"/>
    <w:rsid w:val="00BE1807"/>
    <w:rsid w:val="00BE20E8"/>
    <w:rsid w:val="00BE409B"/>
    <w:rsid w:val="00BE6327"/>
    <w:rsid w:val="00BF2221"/>
    <w:rsid w:val="00BF2DB9"/>
    <w:rsid w:val="00BF3959"/>
    <w:rsid w:val="00BF45DC"/>
    <w:rsid w:val="00BF4794"/>
    <w:rsid w:val="00BF574C"/>
    <w:rsid w:val="00BF6F30"/>
    <w:rsid w:val="00BF75A5"/>
    <w:rsid w:val="00BF7F8A"/>
    <w:rsid w:val="00C004BB"/>
    <w:rsid w:val="00C02181"/>
    <w:rsid w:val="00C02285"/>
    <w:rsid w:val="00C0360B"/>
    <w:rsid w:val="00C05471"/>
    <w:rsid w:val="00C06A27"/>
    <w:rsid w:val="00C06A7C"/>
    <w:rsid w:val="00C06C30"/>
    <w:rsid w:val="00C06F70"/>
    <w:rsid w:val="00C073A8"/>
    <w:rsid w:val="00C1061B"/>
    <w:rsid w:val="00C1150C"/>
    <w:rsid w:val="00C11870"/>
    <w:rsid w:val="00C11E94"/>
    <w:rsid w:val="00C1255F"/>
    <w:rsid w:val="00C1342C"/>
    <w:rsid w:val="00C13E71"/>
    <w:rsid w:val="00C145E4"/>
    <w:rsid w:val="00C149F4"/>
    <w:rsid w:val="00C151CB"/>
    <w:rsid w:val="00C15438"/>
    <w:rsid w:val="00C15AD9"/>
    <w:rsid w:val="00C16440"/>
    <w:rsid w:val="00C17177"/>
    <w:rsid w:val="00C177DE"/>
    <w:rsid w:val="00C2078C"/>
    <w:rsid w:val="00C21246"/>
    <w:rsid w:val="00C22265"/>
    <w:rsid w:val="00C22741"/>
    <w:rsid w:val="00C22E9E"/>
    <w:rsid w:val="00C2310F"/>
    <w:rsid w:val="00C23C0D"/>
    <w:rsid w:val="00C25034"/>
    <w:rsid w:val="00C257E9"/>
    <w:rsid w:val="00C26842"/>
    <w:rsid w:val="00C300FA"/>
    <w:rsid w:val="00C3369D"/>
    <w:rsid w:val="00C343F0"/>
    <w:rsid w:val="00C34914"/>
    <w:rsid w:val="00C35259"/>
    <w:rsid w:val="00C3541B"/>
    <w:rsid w:val="00C35C9E"/>
    <w:rsid w:val="00C35E3A"/>
    <w:rsid w:val="00C3739C"/>
    <w:rsid w:val="00C37BC9"/>
    <w:rsid w:val="00C40197"/>
    <w:rsid w:val="00C417B4"/>
    <w:rsid w:val="00C41CF4"/>
    <w:rsid w:val="00C41DE0"/>
    <w:rsid w:val="00C42954"/>
    <w:rsid w:val="00C42E6C"/>
    <w:rsid w:val="00C440B7"/>
    <w:rsid w:val="00C44EB1"/>
    <w:rsid w:val="00C4512C"/>
    <w:rsid w:val="00C45243"/>
    <w:rsid w:val="00C4524B"/>
    <w:rsid w:val="00C4572E"/>
    <w:rsid w:val="00C45B9F"/>
    <w:rsid w:val="00C46097"/>
    <w:rsid w:val="00C46D7D"/>
    <w:rsid w:val="00C500FC"/>
    <w:rsid w:val="00C507D9"/>
    <w:rsid w:val="00C51633"/>
    <w:rsid w:val="00C5179C"/>
    <w:rsid w:val="00C53301"/>
    <w:rsid w:val="00C533A6"/>
    <w:rsid w:val="00C53D40"/>
    <w:rsid w:val="00C5502B"/>
    <w:rsid w:val="00C55585"/>
    <w:rsid w:val="00C557FA"/>
    <w:rsid w:val="00C56A9A"/>
    <w:rsid w:val="00C60D25"/>
    <w:rsid w:val="00C61761"/>
    <w:rsid w:val="00C644EB"/>
    <w:rsid w:val="00C66B6E"/>
    <w:rsid w:val="00C6796F"/>
    <w:rsid w:val="00C679AD"/>
    <w:rsid w:val="00C724A5"/>
    <w:rsid w:val="00C72A0C"/>
    <w:rsid w:val="00C72CCA"/>
    <w:rsid w:val="00C73ECB"/>
    <w:rsid w:val="00C7400C"/>
    <w:rsid w:val="00C75B86"/>
    <w:rsid w:val="00C77997"/>
    <w:rsid w:val="00C80B3D"/>
    <w:rsid w:val="00C80CAA"/>
    <w:rsid w:val="00C80F34"/>
    <w:rsid w:val="00C81772"/>
    <w:rsid w:val="00C825B8"/>
    <w:rsid w:val="00C83627"/>
    <w:rsid w:val="00C83EC7"/>
    <w:rsid w:val="00C84D45"/>
    <w:rsid w:val="00C85068"/>
    <w:rsid w:val="00C85663"/>
    <w:rsid w:val="00C85FF0"/>
    <w:rsid w:val="00C8609E"/>
    <w:rsid w:val="00C868CD"/>
    <w:rsid w:val="00C87D94"/>
    <w:rsid w:val="00C90EBA"/>
    <w:rsid w:val="00C93943"/>
    <w:rsid w:val="00C93CEA"/>
    <w:rsid w:val="00C9492B"/>
    <w:rsid w:val="00C966E0"/>
    <w:rsid w:val="00C975AA"/>
    <w:rsid w:val="00CA0D09"/>
    <w:rsid w:val="00CA243D"/>
    <w:rsid w:val="00CA2A4B"/>
    <w:rsid w:val="00CA6023"/>
    <w:rsid w:val="00CA74A0"/>
    <w:rsid w:val="00CA7692"/>
    <w:rsid w:val="00CB05D7"/>
    <w:rsid w:val="00CB152C"/>
    <w:rsid w:val="00CB1951"/>
    <w:rsid w:val="00CB1A60"/>
    <w:rsid w:val="00CB2B60"/>
    <w:rsid w:val="00CB33EF"/>
    <w:rsid w:val="00CB46CF"/>
    <w:rsid w:val="00CB4A88"/>
    <w:rsid w:val="00CB5152"/>
    <w:rsid w:val="00CB60B3"/>
    <w:rsid w:val="00CB684C"/>
    <w:rsid w:val="00CB74A5"/>
    <w:rsid w:val="00CB762F"/>
    <w:rsid w:val="00CC208B"/>
    <w:rsid w:val="00CC2285"/>
    <w:rsid w:val="00CC35AE"/>
    <w:rsid w:val="00CC35FD"/>
    <w:rsid w:val="00CC75E7"/>
    <w:rsid w:val="00CC7A25"/>
    <w:rsid w:val="00CC7AC5"/>
    <w:rsid w:val="00CD0D8B"/>
    <w:rsid w:val="00CD113A"/>
    <w:rsid w:val="00CD124F"/>
    <w:rsid w:val="00CD19EF"/>
    <w:rsid w:val="00CD22B9"/>
    <w:rsid w:val="00CD2310"/>
    <w:rsid w:val="00CD2C13"/>
    <w:rsid w:val="00CD3C8A"/>
    <w:rsid w:val="00CD4E0B"/>
    <w:rsid w:val="00CD5487"/>
    <w:rsid w:val="00CD6520"/>
    <w:rsid w:val="00CD7615"/>
    <w:rsid w:val="00CD7AEE"/>
    <w:rsid w:val="00CD7B22"/>
    <w:rsid w:val="00CD7CF9"/>
    <w:rsid w:val="00CE0898"/>
    <w:rsid w:val="00CE126B"/>
    <w:rsid w:val="00CE4798"/>
    <w:rsid w:val="00CE68A8"/>
    <w:rsid w:val="00CE6F6D"/>
    <w:rsid w:val="00CE7119"/>
    <w:rsid w:val="00CE7C89"/>
    <w:rsid w:val="00CE7CB8"/>
    <w:rsid w:val="00CF19D8"/>
    <w:rsid w:val="00CF2422"/>
    <w:rsid w:val="00CF24ED"/>
    <w:rsid w:val="00CF27BD"/>
    <w:rsid w:val="00CF30F0"/>
    <w:rsid w:val="00CF34CF"/>
    <w:rsid w:val="00CF40B6"/>
    <w:rsid w:val="00CF67FD"/>
    <w:rsid w:val="00CF7215"/>
    <w:rsid w:val="00CF7374"/>
    <w:rsid w:val="00CF7885"/>
    <w:rsid w:val="00D00155"/>
    <w:rsid w:val="00D00F94"/>
    <w:rsid w:val="00D010B4"/>
    <w:rsid w:val="00D01F98"/>
    <w:rsid w:val="00D06D11"/>
    <w:rsid w:val="00D07125"/>
    <w:rsid w:val="00D102C6"/>
    <w:rsid w:val="00D103D0"/>
    <w:rsid w:val="00D10A0D"/>
    <w:rsid w:val="00D11D40"/>
    <w:rsid w:val="00D13B76"/>
    <w:rsid w:val="00D1423D"/>
    <w:rsid w:val="00D14F17"/>
    <w:rsid w:val="00D15D0A"/>
    <w:rsid w:val="00D168DA"/>
    <w:rsid w:val="00D20116"/>
    <w:rsid w:val="00D2099F"/>
    <w:rsid w:val="00D2171D"/>
    <w:rsid w:val="00D22BAF"/>
    <w:rsid w:val="00D23668"/>
    <w:rsid w:val="00D25126"/>
    <w:rsid w:val="00D25C3E"/>
    <w:rsid w:val="00D26043"/>
    <w:rsid w:val="00D27933"/>
    <w:rsid w:val="00D31103"/>
    <w:rsid w:val="00D314BA"/>
    <w:rsid w:val="00D32021"/>
    <w:rsid w:val="00D32186"/>
    <w:rsid w:val="00D33CAF"/>
    <w:rsid w:val="00D33FBA"/>
    <w:rsid w:val="00D34C80"/>
    <w:rsid w:val="00D40CF9"/>
    <w:rsid w:val="00D4162C"/>
    <w:rsid w:val="00D43E7E"/>
    <w:rsid w:val="00D444CB"/>
    <w:rsid w:val="00D5275D"/>
    <w:rsid w:val="00D536C2"/>
    <w:rsid w:val="00D537A4"/>
    <w:rsid w:val="00D5403D"/>
    <w:rsid w:val="00D5628E"/>
    <w:rsid w:val="00D56EDC"/>
    <w:rsid w:val="00D578E8"/>
    <w:rsid w:val="00D57FA2"/>
    <w:rsid w:val="00D61071"/>
    <w:rsid w:val="00D6259A"/>
    <w:rsid w:val="00D627B0"/>
    <w:rsid w:val="00D63A3A"/>
    <w:rsid w:val="00D64620"/>
    <w:rsid w:val="00D64B74"/>
    <w:rsid w:val="00D65986"/>
    <w:rsid w:val="00D66676"/>
    <w:rsid w:val="00D66AC3"/>
    <w:rsid w:val="00D70EB2"/>
    <w:rsid w:val="00D711EE"/>
    <w:rsid w:val="00D722FC"/>
    <w:rsid w:val="00D724F6"/>
    <w:rsid w:val="00D73F37"/>
    <w:rsid w:val="00D75DA9"/>
    <w:rsid w:val="00D760B5"/>
    <w:rsid w:val="00D810FB"/>
    <w:rsid w:val="00D818C5"/>
    <w:rsid w:val="00D833D6"/>
    <w:rsid w:val="00D83685"/>
    <w:rsid w:val="00D8378F"/>
    <w:rsid w:val="00D845D3"/>
    <w:rsid w:val="00D84B44"/>
    <w:rsid w:val="00D850D4"/>
    <w:rsid w:val="00D865F5"/>
    <w:rsid w:val="00D867EC"/>
    <w:rsid w:val="00D87FF6"/>
    <w:rsid w:val="00D921E2"/>
    <w:rsid w:val="00D93592"/>
    <w:rsid w:val="00D95A00"/>
    <w:rsid w:val="00DA0DF8"/>
    <w:rsid w:val="00DA175A"/>
    <w:rsid w:val="00DA1D8B"/>
    <w:rsid w:val="00DA2366"/>
    <w:rsid w:val="00DA362F"/>
    <w:rsid w:val="00DA3A55"/>
    <w:rsid w:val="00DA3A6E"/>
    <w:rsid w:val="00DA49C7"/>
    <w:rsid w:val="00DA4CD5"/>
    <w:rsid w:val="00DA584E"/>
    <w:rsid w:val="00DA5E9E"/>
    <w:rsid w:val="00DA6F2E"/>
    <w:rsid w:val="00DB08FA"/>
    <w:rsid w:val="00DB0B57"/>
    <w:rsid w:val="00DB0E0C"/>
    <w:rsid w:val="00DB1810"/>
    <w:rsid w:val="00DB18CF"/>
    <w:rsid w:val="00DB1D21"/>
    <w:rsid w:val="00DB2796"/>
    <w:rsid w:val="00DB4873"/>
    <w:rsid w:val="00DB6A3D"/>
    <w:rsid w:val="00DB7367"/>
    <w:rsid w:val="00DC2D59"/>
    <w:rsid w:val="00DC3CAF"/>
    <w:rsid w:val="00DC61CA"/>
    <w:rsid w:val="00DC688A"/>
    <w:rsid w:val="00DC7BC7"/>
    <w:rsid w:val="00DD05B5"/>
    <w:rsid w:val="00DD1477"/>
    <w:rsid w:val="00DD3F75"/>
    <w:rsid w:val="00DD4BCA"/>
    <w:rsid w:val="00DD537C"/>
    <w:rsid w:val="00DD5873"/>
    <w:rsid w:val="00DD5C51"/>
    <w:rsid w:val="00DE0C29"/>
    <w:rsid w:val="00DE0FC4"/>
    <w:rsid w:val="00DE16B9"/>
    <w:rsid w:val="00DE1D5C"/>
    <w:rsid w:val="00DE38B7"/>
    <w:rsid w:val="00DE3F02"/>
    <w:rsid w:val="00DE531B"/>
    <w:rsid w:val="00DE6F9E"/>
    <w:rsid w:val="00DE7778"/>
    <w:rsid w:val="00DF069E"/>
    <w:rsid w:val="00DF0765"/>
    <w:rsid w:val="00DF1CC1"/>
    <w:rsid w:val="00DF2628"/>
    <w:rsid w:val="00DF5BD2"/>
    <w:rsid w:val="00DF616D"/>
    <w:rsid w:val="00DF71C9"/>
    <w:rsid w:val="00DF7347"/>
    <w:rsid w:val="00E018E1"/>
    <w:rsid w:val="00E01C2A"/>
    <w:rsid w:val="00E03A8C"/>
    <w:rsid w:val="00E04FC9"/>
    <w:rsid w:val="00E06484"/>
    <w:rsid w:val="00E07C09"/>
    <w:rsid w:val="00E10853"/>
    <w:rsid w:val="00E111C2"/>
    <w:rsid w:val="00E120B4"/>
    <w:rsid w:val="00E12A72"/>
    <w:rsid w:val="00E13756"/>
    <w:rsid w:val="00E13D8B"/>
    <w:rsid w:val="00E14561"/>
    <w:rsid w:val="00E15B7F"/>
    <w:rsid w:val="00E15FC0"/>
    <w:rsid w:val="00E1603C"/>
    <w:rsid w:val="00E2078D"/>
    <w:rsid w:val="00E21F4D"/>
    <w:rsid w:val="00E23B1B"/>
    <w:rsid w:val="00E23C94"/>
    <w:rsid w:val="00E23E4E"/>
    <w:rsid w:val="00E241D7"/>
    <w:rsid w:val="00E24E70"/>
    <w:rsid w:val="00E25017"/>
    <w:rsid w:val="00E279D4"/>
    <w:rsid w:val="00E27A0D"/>
    <w:rsid w:val="00E3014C"/>
    <w:rsid w:val="00E30DDC"/>
    <w:rsid w:val="00E3241C"/>
    <w:rsid w:val="00E33D2F"/>
    <w:rsid w:val="00E3482C"/>
    <w:rsid w:val="00E34F73"/>
    <w:rsid w:val="00E356B0"/>
    <w:rsid w:val="00E36035"/>
    <w:rsid w:val="00E3700F"/>
    <w:rsid w:val="00E40698"/>
    <w:rsid w:val="00E41C14"/>
    <w:rsid w:val="00E42EFB"/>
    <w:rsid w:val="00E43179"/>
    <w:rsid w:val="00E44580"/>
    <w:rsid w:val="00E44595"/>
    <w:rsid w:val="00E45977"/>
    <w:rsid w:val="00E4688E"/>
    <w:rsid w:val="00E47A6C"/>
    <w:rsid w:val="00E50133"/>
    <w:rsid w:val="00E51E9E"/>
    <w:rsid w:val="00E542CA"/>
    <w:rsid w:val="00E549CF"/>
    <w:rsid w:val="00E54A19"/>
    <w:rsid w:val="00E5525F"/>
    <w:rsid w:val="00E553EC"/>
    <w:rsid w:val="00E55B81"/>
    <w:rsid w:val="00E56F6C"/>
    <w:rsid w:val="00E5764D"/>
    <w:rsid w:val="00E5DD44"/>
    <w:rsid w:val="00E60433"/>
    <w:rsid w:val="00E6051A"/>
    <w:rsid w:val="00E608A8"/>
    <w:rsid w:val="00E62DB6"/>
    <w:rsid w:val="00E63678"/>
    <w:rsid w:val="00E640B9"/>
    <w:rsid w:val="00E645A9"/>
    <w:rsid w:val="00E65757"/>
    <w:rsid w:val="00E666C3"/>
    <w:rsid w:val="00E67665"/>
    <w:rsid w:val="00E6791B"/>
    <w:rsid w:val="00E70093"/>
    <w:rsid w:val="00E703C4"/>
    <w:rsid w:val="00E706EF"/>
    <w:rsid w:val="00E70A1D"/>
    <w:rsid w:val="00E71673"/>
    <w:rsid w:val="00E72943"/>
    <w:rsid w:val="00E738B7"/>
    <w:rsid w:val="00E73D25"/>
    <w:rsid w:val="00E7467D"/>
    <w:rsid w:val="00E75273"/>
    <w:rsid w:val="00E75403"/>
    <w:rsid w:val="00E75CDF"/>
    <w:rsid w:val="00E763D7"/>
    <w:rsid w:val="00E765CA"/>
    <w:rsid w:val="00E76EDB"/>
    <w:rsid w:val="00E77175"/>
    <w:rsid w:val="00E7798B"/>
    <w:rsid w:val="00E83494"/>
    <w:rsid w:val="00E836ED"/>
    <w:rsid w:val="00E84A63"/>
    <w:rsid w:val="00E86AAE"/>
    <w:rsid w:val="00E87655"/>
    <w:rsid w:val="00E91710"/>
    <w:rsid w:val="00E9189E"/>
    <w:rsid w:val="00E91C78"/>
    <w:rsid w:val="00E95CD8"/>
    <w:rsid w:val="00E972BA"/>
    <w:rsid w:val="00EA016E"/>
    <w:rsid w:val="00EA17DB"/>
    <w:rsid w:val="00EA2551"/>
    <w:rsid w:val="00EA2C42"/>
    <w:rsid w:val="00EA317C"/>
    <w:rsid w:val="00EA493E"/>
    <w:rsid w:val="00EA4B4F"/>
    <w:rsid w:val="00EA4B6C"/>
    <w:rsid w:val="00EA5EF6"/>
    <w:rsid w:val="00EA6991"/>
    <w:rsid w:val="00EB0B7D"/>
    <w:rsid w:val="00EB262A"/>
    <w:rsid w:val="00EB4013"/>
    <w:rsid w:val="00EB613A"/>
    <w:rsid w:val="00EC09DF"/>
    <w:rsid w:val="00EC0CD6"/>
    <w:rsid w:val="00EC1273"/>
    <w:rsid w:val="00EC2A92"/>
    <w:rsid w:val="00EC4A3F"/>
    <w:rsid w:val="00EC5241"/>
    <w:rsid w:val="00EC6A92"/>
    <w:rsid w:val="00EC7CFA"/>
    <w:rsid w:val="00EC7DE9"/>
    <w:rsid w:val="00ED1933"/>
    <w:rsid w:val="00ED1E41"/>
    <w:rsid w:val="00ED228D"/>
    <w:rsid w:val="00ED28B7"/>
    <w:rsid w:val="00ED2924"/>
    <w:rsid w:val="00ED403F"/>
    <w:rsid w:val="00ED40D0"/>
    <w:rsid w:val="00ED4AED"/>
    <w:rsid w:val="00ED5047"/>
    <w:rsid w:val="00EE06A8"/>
    <w:rsid w:val="00EE181E"/>
    <w:rsid w:val="00EE1B3E"/>
    <w:rsid w:val="00EE1B52"/>
    <w:rsid w:val="00EE246E"/>
    <w:rsid w:val="00EE2B65"/>
    <w:rsid w:val="00EE3EEA"/>
    <w:rsid w:val="00EE47A2"/>
    <w:rsid w:val="00EE4CC9"/>
    <w:rsid w:val="00EE50CA"/>
    <w:rsid w:val="00EE5BCA"/>
    <w:rsid w:val="00EE5DC5"/>
    <w:rsid w:val="00EF069C"/>
    <w:rsid w:val="00EF288D"/>
    <w:rsid w:val="00EF2C2E"/>
    <w:rsid w:val="00EF3774"/>
    <w:rsid w:val="00EF4FD6"/>
    <w:rsid w:val="00EF5A90"/>
    <w:rsid w:val="00EF60E7"/>
    <w:rsid w:val="00EF6166"/>
    <w:rsid w:val="00EF624A"/>
    <w:rsid w:val="00EF64EE"/>
    <w:rsid w:val="00F03DBC"/>
    <w:rsid w:val="00F052B0"/>
    <w:rsid w:val="00F061E8"/>
    <w:rsid w:val="00F06302"/>
    <w:rsid w:val="00F06DF5"/>
    <w:rsid w:val="00F07814"/>
    <w:rsid w:val="00F112FC"/>
    <w:rsid w:val="00F12151"/>
    <w:rsid w:val="00F1362E"/>
    <w:rsid w:val="00F1523C"/>
    <w:rsid w:val="00F153AA"/>
    <w:rsid w:val="00F16B9D"/>
    <w:rsid w:val="00F238BA"/>
    <w:rsid w:val="00F254AE"/>
    <w:rsid w:val="00F25A99"/>
    <w:rsid w:val="00F264C1"/>
    <w:rsid w:val="00F26ACD"/>
    <w:rsid w:val="00F27F0D"/>
    <w:rsid w:val="00F303B6"/>
    <w:rsid w:val="00F30521"/>
    <w:rsid w:val="00F30BB3"/>
    <w:rsid w:val="00F30E24"/>
    <w:rsid w:val="00F35652"/>
    <w:rsid w:val="00F35741"/>
    <w:rsid w:val="00F36A1F"/>
    <w:rsid w:val="00F37435"/>
    <w:rsid w:val="00F41D15"/>
    <w:rsid w:val="00F4208E"/>
    <w:rsid w:val="00F42A31"/>
    <w:rsid w:val="00F43144"/>
    <w:rsid w:val="00F453A5"/>
    <w:rsid w:val="00F45733"/>
    <w:rsid w:val="00F45AEF"/>
    <w:rsid w:val="00F45E5B"/>
    <w:rsid w:val="00F4792D"/>
    <w:rsid w:val="00F50103"/>
    <w:rsid w:val="00F50D3B"/>
    <w:rsid w:val="00F52242"/>
    <w:rsid w:val="00F52FC2"/>
    <w:rsid w:val="00F548FB"/>
    <w:rsid w:val="00F55570"/>
    <w:rsid w:val="00F57393"/>
    <w:rsid w:val="00F57D46"/>
    <w:rsid w:val="00F60B92"/>
    <w:rsid w:val="00F60BCF"/>
    <w:rsid w:val="00F60C16"/>
    <w:rsid w:val="00F61082"/>
    <w:rsid w:val="00F63458"/>
    <w:rsid w:val="00F636A2"/>
    <w:rsid w:val="00F649C9"/>
    <w:rsid w:val="00F66C57"/>
    <w:rsid w:val="00F676C8"/>
    <w:rsid w:val="00F6793F"/>
    <w:rsid w:val="00F7046C"/>
    <w:rsid w:val="00F7060F"/>
    <w:rsid w:val="00F75AC3"/>
    <w:rsid w:val="00F75D9E"/>
    <w:rsid w:val="00F80E19"/>
    <w:rsid w:val="00F80E72"/>
    <w:rsid w:val="00F80F86"/>
    <w:rsid w:val="00F81176"/>
    <w:rsid w:val="00F81B3D"/>
    <w:rsid w:val="00F81D03"/>
    <w:rsid w:val="00F824DD"/>
    <w:rsid w:val="00F8318F"/>
    <w:rsid w:val="00F8338B"/>
    <w:rsid w:val="00F84C98"/>
    <w:rsid w:val="00F855C1"/>
    <w:rsid w:val="00F858DC"/>
    <w:rsid w:val="00F85ACF"/>
    <w:rsid w:val="00F86B3E"/>
    <w:rsid w:val="00F907F8"/>
    <w:rsid w:val="00F90856"/>
    <w:rsid w:val="00F91ED9"/>
    <w:rsid w:val="00F92A2E"/>
    <w:rsid w:val="00F92D3F"/>
    <w:rsid w:val="00F933B8"/>
    <w:rsid w:val="00F95AD9"/>
    <w:rsid w:val="00F969A6"/>
    <w:rsid w:val="00FA1229"/>
    <w:rsid w:val="00FA13BF"/>
    <w:rsid w:val="00FA13D1"/>
    <w:rsid w:val="00FA1ED9"/>
    <w:rsid w:val="00FA5B63"/>
    <w:rsid w:val="00FA63CE"/>
    <w:rsid w:val="00FA727C"/>
    <w:rsid w:val="00FA7DF7"/>
    <w:rsid w:val="00FB0069"/>
    <w:rsid w:val="00FB01BB"/>
    <w:rsid w:val="00FB02FA"/>
    <w:rsid w:val="00FB1013"/>
    <w:rsid w:val="00FB2E8A"/>
    <w:rsid w:val="00FB3A1C"/>
    <w:rsid w:val="00FB3B78"/>
    <w:rsid w:val="00FB7260"/>
    <w:rsid w:val="00FC273B"/>
    <w:rsid w:val="00FC2C62"/>
    <w:rsid w:val="00FC3DAD"/>
    <w:rsid w:val="00FC6848"/>
    <w:rsid w:val="00FC6DA9"/>
    <w:rsid w:val="00FD162D"/>
    <w:rsid w:val="00FD1981"/>
    <w:rsid w:val="00FD2E34"/>
    <w:rsid w:val="00FD3F7D"/>
    <w:rsid w:val="00FD561E"/>
    <w:rsid w:val="00FD5D5E"/>
    <w:rsid w:val="00FD5E92"/>
    <w:rsid w:val="00FD683D"/>
    <w:rsid w:val="00FD73DF"/>
    <w:rsid w:val="00FD740A"/>
    <w:rsid w:val="00FE07B6"/>
    <w:rsid w:val="00FE0C90"/>
    <w:rsid w:val="00FE19A2"/>
    <w:rsid w:val="00FE2AEC"/>
    <w:rsid w:val="00FE3488"/>
    <w:rsid w:val="00FE396D"/>
    <w:rsid w:val="00FE4C97"/>
    <w:rsid w:val="00FE4E2A"/>
    <w:rsid w:val="00FE5648"/>
    <w:rsid w:val="00FF053E"/>
    <w:rsid w:val="00FF3194"/>
    <w:rsid w:val="00FF3C67"/>
    <w:rsid w:val="00FF4FE2"/>
    <w:rsid w:val="00FF562A"/>
    <w:rsid w:val="00FF7899"/>
    <w:rsid w:val="01677704"/>
    <w:rsid w:val="0186C1A9"/>
    <w:rsid w:val="027FC350"/>
    <w:rsid w:val="035CC84C"/>
    <w:rsid w:val="03E1360B"/>
    <w:rsid w:val="0410926E"/>
    <w:rsid w:val="04E00F6E"/>
    <w:rsid w:val="06490A47"/>
    <w:rsid w:val="068CC2CA"/>
    <w:rsid w:val="069B87EC"/>
    <w:rsid w:val="06C03CDC"/>
    <w:rsid w:val="08477FFA"/>
    <w:rsid w:val="0905F110"/>
    <w:rsid w:val="091A2F71"/>
    <w:rsid w:val="098A6B6F"/>
    <w:rsid w:val="098E5B6E"/>
    <w:rsid w:val="0A2093D5"/>
    <w:rsid w:val="0B4EB1D4"/>
    <w:rsid w:val="0CEA8235"/>
    <w:rsid w:val="0D2F6C9E"/>
    <w:rsid w:val="0D5CDD06"/>
    <w:rsid w:val="0D5F2A3C"/>
    <w:rsid w:val="0D65B4B2"/>
    <w:rsid w:val="0E361648"/>
    <w:rsid w:val="0EA3CF23"/>
    <w:rsid w:val="0F319349"/>
    <w:rsid w:val="0F364D8A"/>
    <w:rsid w:val="0F7B2D82"/>
    <w:rsid w:val="0F9C651E"/>
    <w:rsid w:val="0FA574F3"/>
    <w:rsid w:val="10246D9B"/>
    <w:rsid w:val="1071E238"/>
    <w:rsid w:val="10AF2127"/>
    <w:rsid w:val="11317D51"/>
    <w:rsid w:val="117233AA"/>
    <w:rsid w:val="120D3579"/>
    <w:rsid w:val="122C30F5"/>
    <w:rsid w:val="126F3C57"/>
    <w:rsid w:val="128BF9D7"/>
    <w:rsid w:val="12A4C2F4"/>
    <w:rsid w:val="12C215CC"/>
    <w:rsid w:val="12F8F553"/>
    <w:rsid w:val="13938370"/>
    <w:rsid w:val="13B9C89A"/>
    <w:rsid w:val="147B8B4C"/>
    <w:rsid w:val="148ACB2F"/>
    <w:rsid w:val="14F93DFE"/>
    <w:rsid w:val="15CC9D26"/>
    <w:rsid w:val="163531F0"/>
    <w:rsid w:val="16F7A599"/>
    <w:rsid w:val="17460534"/>
    <w:rsid w:val="177627AD"/>
    <w:rsid w:val="18BBB50E"/>
    <w:rsid w:val="18FC58DA"/>
    <w:rsid w:val="19411326"/>
    <w:rsid w:val="195E9721"/>
    <w:rsid w:val="1972F615"/>
    <w:rsid w:val="199945E0"/>
    <w:rsid w:val="1ADCF19A"/>
    <w:rsid w:val="1AF1558B"/>
    <w:rsid w:val="1B19DA48"/>
    <w:rsid w:val="1B252009"/>
    <w:rsid w:val="1BED8806"/>
    <w:rsid w:val="1BF557FE"/>
    <w:rsid w:val="1C2B826A"/>
    <w:rsid w:val="1CA65A97"/>
    <w:rsid w:val="1CAA31AE"/>
    <w:rsid w:val="1D1EDD72"/>
    <w:rsid w:val="1D2234DC"/>
    <w:rsid w:val="1D588BEF"/>
    <w:rsid w:val="1D66A872"/>
    <w:rsid w:val="1E254D83"/>
    <w:rsid w:val="1E319E20"/>
    <w:rsid w:val="1E39535B"/>
    <w:rsid w:val="1E74D477"/>
    <w:rsid w:val="1F983A74"/>
    <w:rsid w:val="20130B9A"/>
    <w:rsid w:val="204F04B8"/>
    <w:rsid w:val="2101BC58"/>
    <w:rsid w:val="21291DB2"/>
    <w:rsid w:val="21FFB614"/>
    <w:rsid w:val="22202B03"/>
    <w:rsid w:val="230865E6"/>
    <w:rsid w:val="23377E93"/>
    <w:rsid w:val="241041C3"/>
    <w:rsid w:val="24106213"/>
    <w:rsid w:val="249D2BBD"/>
    <w:rsid w:val="251FCA1C"/>
    <w:rsid w:val="253C596A"/>
    <w:rsid w:val="256A685D"/>
    <w:rsid w:val="25D77105"/>
    <w:rsid w:val="26C49893"/>
    <w:rsid w:val="27004AB8"/>
    <w:rsid w:val="27178F0D"/>
    <w:rsid w:val="27B88EDA"/>
    <w:rsid w:val="27E81AAD"/>
    <w:rsid w:val="288D3B3D"/>
    <w:rsid w:val="28B4EB4C"/>
    <w:rsid w:val="2901309C"/>
    <w:rsid w:val="29563FE9"/>
    <w:rsid w:val="2965D2DE"/>
    <w:rsid w:val="29842ACF"/>
    <w:rsid w:val="299B44DE"/>
    <w:rsid w:val="29C81074"/>
    <w:rsid w:val="29EEFA8A"/>
    <w:rsid w:val="2A4097EA"/>
    <w:rsid w:val="2A4E5BF4"/>
    <w:rsid w:val="2A6FC8F5"/>
    <w:rsid w:val="2B1E1CA6"/>
    <w:rsid w:val="2B229CC7"/>
    <w:rsid w:val="2B8EF924"/>
    <w:rsid w:val="2BFC280C"/>
    <w:rsid w:val="2C7670C5"/>
    <w:rsid w:val="2C9A7E67"/>
    <w:rsid w:val="2CE56AC6"/>
    <w:rsid w:val="2D1F4057"/>
    <w:rsid w:val="2D3B51F4"/>
    <w:rsid w:val="2D5480B7"/>
    <w:rsid w:val="2D594796"/>
    <w:rsid w:val="2DF2643B"/>
    <w:rsid w:val="2E12046A"/>
    <w:rsid w:val="3018A9AF"/>
    <w:rsid w:val="30229F20"/>
    <w:rsid w:val="30241816"/>
    <w:rsid w:val="3065D843"/>
    <w:rsid w:val="3074A20C"/>
    <w:rsid w:val="31738FAC"/>
    <w:rsid w:val="32473DB6"/>
    <w:rsid w:val="32481F0A"/>
    <w:rsid w:val="32525126"/>
    <w:rsid w:val="32583460"/>
    <w:rsid w:val="33357D2A"/>
    <w:rsid w:val="33504A71"/>
    <w:rsid w:val="342A78F1"/>
    <w:rsid w:val="3531FE9E"/>
    <w:rsid w:val="35F4F0EE"/>
    <w:rsid w:val="362F1268"/>
    <w:rsid w:val="3649533D"/>
    <w:rsid w:val="36BFC98C"/>
    <w:rsid w:val="37308985"/>
    <w:rsid w:val="37589110"/>
    <w:rsid w:val="37A0342B"/>
    <w:rsid w:val="37E25537"/>
    <w:rsid w:val="37FFB909"/>
    <w:rsid w:val="38DB149F"/>
    <w:rsid w:val="3A2E89E5"/>
    <w:rsid w:val="3BCBDC82"/>
    <w:rsid w:val="3D2BB653"/>
    <w:rsid w:val="3D935F40"/>
    <w:rsid w:val="3DBDDA05"/>
    <w:rsid w:val="3DFFCC4B"/>
    <w:rsid w:val="3E7F7495"/>
    <w:rsid w:val="3E812DC9"/>
    <w:rsid w:val="3F022685"/>
    <w:rsid w:val="3FA41ABC"/>
    <w:rsid w:val="40063A60"/>
    <w:rsid w:val="4011D41E"/>
    <w:rsid w:val="4160D416"/>
    <w:rsid w:val="41B14426"/>
    <w:rsid w:val="41D28B60"/>
    <w:rsid w:val="4205E1D6"/>
    <w:rsid w:val="42F4D69E"/>
    <w:rsid w:val="436ACFA6"/>
    <w:rsid w:val="437089C9"/>
    <w:rsid w:val="43FFFC12"/>
    <w:rsid w:val="4451AD2B"/>
    <w:rsid w:val="44ADB236"/>
    <w:rsid w:val="44C3A19C"/>
    <w:rsid w:val="44D493DE"/>
    <w:rsid w:val="44FFBC67"/>
    <w:rsid w:val="450E1B62"/>
    <w:rsid w:val="4584FDA4"/>
    <w:rsid w:val="462DDFE8"/>
    <w:rsid w:val="4639ABE4"/>
    <w:rsid w:val="468F3424"/>
    <w:rsid w:val="469D920A"/>
    <w:rsid w:val="46A43248"/>
    <w:rsid w:val="46BF8621"/>
    <w:rsid w:val="46DA09FB"/>
    <w:rsid w:val="4753DA90"/>
    <w:rsid w:val="4778B1EA"/>
    <w:rsid w:val="47D3427C"/>
    <w:rsid w:val="48AC89F2"/>
    <w:rsid w:val="49B83444"/>
    <w:rsid w:val="49EC6A62"/>
    <w:rsid w:val="4A3A119C"/>
    <w:rsid w:val="4A5DAB9A"/>
    <w:rsid w:val="4AAE4322"/>
    <w:rsid w:val="4B420EC8"/>
    <w:rsid w:val="4B883AC3"/>
    <w:rsid w:val="4B8EF570"/>
    <w:rsid w:val="4B94A0DB"/>
    <w:rsid w:val="4BE42AB4"/>
    <w:rsid w:val="4C2D5851"/>
    <w:rsid w:val="4D147B91"/>
    <w:rsid w:val="4F554C6E"/>
    <w:rsid w:val="4F55CAD9"/>
    <w:rsid w:val="4F5B9BD4"/>
    <w:rsid w:val="50E87291"/>
    <w:rsid w:val="50F80947"/>
    <w:rsid w:val="51F8B297"/>
    <w:rsid w:val="5416BA3E"/>
    <w:rsid w:val="5424A06E"/>
    <w:rsid w:val="543240F1"/>
    <w:rsid w:val="54D93F52"/>
    <w:rsid w:val="54EED121"/>
    <w:rsid w:val="5541EBE9"/>
    <w:rsid w:val="55A1983F"/>
    <w:rsid w:val="55EB9F45"/>
    <w:rsid w:val="56A01DF4"/>
    <w:rsid w:val="56B6E223"/>
    <w:rsid w:val="56C27629"/>
    <w:rsid w:val="571D778E"/>
    <w:rsid w:val="5771D70A"/>
    <w:rsid w:val="57BDAFF2"/>
    <w:rsid w:val="5804D108"/>
    <w:rsid w:val="582A6851"/>
    <w:rsid w:val="5856A60B"/>
    <w:rsid w:val="5863DF55"/>
    <w:rsid w:val="58E81177"/>
    <w:rsid w:val="5A1FB229"/>
    <w:rsid w:val="5A274ADF"/>
    <w:rsid w:val="5AC5B8FD"/>
    <w:rsid w:val="5AE32BFA"/>
    <w:rsid w:val="5B30FFAD"/>
    <w:rsid w:val="5BBA3112"/>
    <w:rsid w:val="5C023C04"/>
    <w:rsid w:val="5C442B4B"/>
    <w:rsid w:val="5CAEFD18"/>
    <w:rsid w:val="5CBECBDD"/>
    <w:rsid w:val="5CED3BE4"/>
    <w:rsid w:val="5D46A117"/>
    <w:rsid w:val="5E01E217"/>
    <w:rsid w:val="5EADB765"/>
    <w:rsid w:val="5EB2C38E"/>
    <w:rsid w:val="5FB03845"/>
    <w:rsid w:val="5FBCC114"/>
    <w:rsid w:val="601503BE"/>
    <w:rsid w:val="607A7A4E"/>
    <w:rsid w:val="608B8D26"/>
    <w:rsid w:val="60F70380"/>
    <w:rsid w:val="610F6513"/>
    <w:rsid w:val="61BBD1D4"/>
    <w:rsid w:val="62158D97"/>
    <w:rsid w:val="6230503E"/>
    <w:rsid w:val="62427297"/>
    <w:rsid w:val="6269DCD6"/>
    <w:rsid w:val="632AD022"/>
    <w:rsid w:val="63573D47"/>
    <w:rsid w:val="63FB4792"/>
    <w:rsid w:val="64164739"/>
    <w:rsid w:val="645C158E"/>
    <w:rsid w:val="64846F3E"/>
    <w:rsid w:val="64D8DD44"/>
    <w:rsid w:val="64DF45E9"/>
    <w:rsid w:val="64E14EA1"/>
    <w:rsid w:val="65082992"/>
    <w:rsid w:val="662585E0"/>
    <w:rsid w:val="664103B7"/>
    <w:rsid w:val="66BE46B9"/>
    <w:rsid w:val="6793B650"/>
    <w:rsid w:val="6797A07B"/>
    <w:rsid w:val="67C872A7"/>
    <w:rsid w:val="67F3C621"/>
    <w:rsid w:val="683210BE"/>
    <w:rsid w:val="68601732"/>
    <w:rsid w:val="68CAFA84"/>
    <w:rsid w:val="699E07FF"/>
    <w:rsid w:val="69BAD628"/>
    <w:rsid w:val="69D494EA"/>
    <w:rsid w:val="69FAE5E4"/>
    <w:rsid w:val="6A23F548"/>
    <w:rsid w:val="6ACFE834"/>
    <w:rsid w:val="6B818878"/>
    <w:rsid w:val="6B84A052"/>
    <w:rsid w:val="6C1EE82C"/>
    <w:rsid w:val="6D00E3BE"/>
    <w:rsid w:val="6E44B8A0"/>
    <w:rsid w:val="70723102"/>
    <w:rsid w:val="70BF058F"/>
    <w:rsid w:val="71678507"/>
    <w:rsid w:val="74220346"/>
    <w:rsid w:val="74271C46"/>
    <w:rsid w:val="75C6EEF1"/>
    <w:rsid w:val="767ED4A7"/>
    <w:rsid w:val="76957C0D"/>
    <w:rsid w:val="77510E5B"/>
    <w:rsid w:val="77736CA8"/>
    <w:rsid w:val="78760080"/>
    <w:rsid w:val="7A9FCED5"/>
    <w:rsid w:val="7B065BBD"/>
    <w:rsid w:val="7B95AAF4"/>
    <w:rsid w:val="7BEC2A23"/>
    <w:rsid w:val="7C43948C"/>
    <w:rsid w:val="7C810CFC"/>
    <w:rsid w:val="7C93E14F"/>
    <w:rsid w:val="7DBF80E4"/>
    <w:rsid w:val="7DE4263E"/>
    <w:rsid w:val="7E0E1689"/>
    <w:rsid w:val="7E2D6579"/>
    <w:rsid w:val="7E74BC76"/>
    <w:rsid w:val="7EC6F67A"/>
    <w:rsid w:val="7F045A8E"/>
    <w:rsid w:val="7F76D853"/>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F2DB"/>
  <w15:docId w15:val="{15AE1704-53FE-4A5B-8893-7C1A8926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ru-R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3"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62"/>
  </w:style>
  <w:style w:type="paragraph" w:styleId="Heading1">
    <w:name w:val="heading 1"/>
    <w:basedOn w:val="Normal"/>
    <w:next w:val="Normal"/>
    <w:link w:val="Heading1Char"/>
    <w:uiPriority w:val="9"/>
    <w:qFormat/>
    <w:rsid w:val="00C9492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b/>
      <w:caps/>
      <w:color w:val="385623" w:themeColor="accent6" w:themeShade="80"/>
      <w:spacing w:val="10"/>
      <w:sz w:val="26"/>
      <w:szCs w:val="36"/>
    </w:rPr>
  </w:style>
  <w:style w:type="paragraph" w:styleId="Heading2">
    <w:name w:val="heading 2"/>
    <w:basedOn w:val="Normal"/>
    <w:next w:val="Normal"/>
    <w:link w:val="Heading2Char"/>
    <w:uiPriority w:val="9"/>
    <w:unhideWhenUsed/>
    <w:qFormat/>
    <w:rsid w:val="00C9492B"/>
    <w:pPr>
      <w:keepNext/>
      <w:keepLines/>
      <w:spacing w:before="120" w:after="120" w:line="240" w:lineRule="auto"/>
      <w:outlineLvl w:val="1"/>
    </w:pPr>
    <w:rPr>
      <w:rFonts w:asciiTheme="majorHAnsi" w:eastAsiaTheme="majorEastAsia" w:hAnsiTheme="majorHAnsi" w:cstheme="majorBidi"/>
      <w:b/>
      <w:color w:val="385623" w:themeColor="accent6" w:themeShade="80"/>
      <w:sz w:val="24"/>
      <w:szCs w:val="36"/>
    </w:rPr>
  </w:style>
  <w:style w:type="paragraph" w:styleId="Heading3">
    <w:name w:val="heading 3"/>
    <w:basedOn w:val="Normal"/>
    <w:next w:val="Normal"/>
    <w:link w:val="Heading3Char"/>
    <w:uiPriority w:val="9"/>
    <w:semiHidden/>
    <w:unhideWhenUsed/>
    <w:qFormat/>
    <w:rsid w:val="00B70ABB"/>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B70ABB"/>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B70ABB"/>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B70ABB"/>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B70AB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70ABB"/>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B70ABB"/>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3AE9"/>
    <w:pPr>
      <w:tabs>
        <w:tab w:val="center" w:pos="4320"/>
        <w:tab w:val="right" w:pos="8640"/>
      </w:tabs>
    </w:pPr>
  </w:style>
  <w:style w:type="character" w:customStyle="1" w:styleId="FooterChar">
    <w:name w:val="Footer Char"/>
    <w:basedOn w:val="DefaultParagraphFont"/>
    <w:link w:val="Footer"/>
    <w:rsid w:val="003B3AE9"/>
    <w:rPr>
      <w:rFonts w:ascii="Times New Roman" w:eastAsia="Times New Roman" w:hAnsi="Times New Roman" w:cs="Times New Roman"/>
      <w:sz w:val="24"/>
      <w:szCs w:val="20"/>
      <w:lang w:val="en-GB"/>
    </w:rPr>
  </w:style>
  <w:style w:type="paragraph" w:styleId="Header">
    <w:name w:val="header"/>
    <w:basedOn w:val="Normal"/>
    <w:link w:val="HeaderChar"/>
    <w:rsid w:val="003B3AE9"/>
    <w:pPr>
      <w:tabs>
        <w:tab w:val="center" w:pos="4320"/>
        <w:tab w:val="right" w:pos="8640"/>
      </w:tabs>
    </w:pPr>
  </w:style>
  <w:style w:type="character" w:customStyle="1" w:styleId="HeaderChar">
    <w:name w:val="Header Char"/>
    <w:basedOn w:val="DefaultParagraphFont"/>
    <w:link w:val="Header"/>
    <w:rsid w:val="003B3AE9"/>
    <w:rPr>
      <w:rFonts w:ascii="Times New Roman" w:eastAsia="Times New Roman" w:hAnsi="Times New Roman" w:cs="Times New Roman"/>
      <w:sz w:val="24"/>
      <w:szCs w:val="20"/>
      <w:lang w:val="en-GB"/>
    </w:rPr>
  </w:style>
  <w:style w:type="character" w:styleId="PageNumber">
    <w:name w:val="page number"/>
    <w:basedOn w:val="DefaultParagraphFont"/>
    <w:rsid w:val="003B3AE9"/>
  </w:style>
  <w:style w:type="paragraph" w:styleId="ListParagraph">
    <w:name w:val="List Paragraph"/>
    <w:basedOn w:val="Normal"/>
    <w:uiPriority w:val="34"/>
    <w:qFormat/>
    <w:rsid w:val="003B3AE9"/>
    <w:pPr>
      <w:ind w:left="720"/>
      <w:contextualSpacing/>
    </w:pPr>
  </w:style>
  <w:style w:type="character" w:styleId="CommentReference">
    <w:name w:val="annotation reference"/>
    <w:basedOn w:val="DefaultParagraphFont"/>
    <w:uiPriority w:val="99"/>
    <w:unhideWhenUsed/>
    <w:rsid w:val="003B3AE9"/>
    <w:rPr>
      <w:sz w:val="16"/>
      <w:szCs w:val="16"/>
    </w:rPr>
  </w:style>
  <w:style w:type="paragraph" w:styleId="CommentText">
    <w:name w:val="annotation text"/>
    <w:basedOn w:val="Normal"/>
    <w:link w:val="CommentTextChar"/>
    <w:uiPriority w:val="99"/>
    <w:unhideWhenUsed/>
    <w:rsid w:val="003B3AE9"/>
    <w:rPr>
      <w:sz w:val="20"/>
    </w:rPr>
  </w:style>
  <w:style w:type="character" w:customStyle="1" w:styleId="CommentTextChar">
    <w:name w:val="Comment Text Char"/>
    <w:basedOn w:val="DefaultParagraphFont"/>
    <w:link w:val="CommentText"/>
    <w:uiPriority w:val="99"/>
    <w:rsid w:val="003B3AE9"/>
    <w:rPr>
      <w:rFonts w:ascii="Times New Roman" w:eastAsia="Times New Roman" w:hAnsi="Times New Roman" w:cs="Times New Roman"/>
      <w:sz w:val="20"/>
      <w:szCs w:val="20"/>
      <w:lang w:val="en-GB"/>
    </w:rPr>
  </w:style>
  <w:style w:type="table" w:styleId="TableGrid">
    <w:name w:val="Table Grid"/>
    <w:basedOn w:val="TableNormal"/>
    <w:uiPriority w:val="59"/>
    <w:rsid w:val="003B3A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E9"/>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9D2449"/>
    <w:rPr>
      <w:b/>
      <w:bCs/>
    </w:rPr>
  </w:style>
  <w:style w:type="character" w:customStyle="1" w:styleId="CommentSubjectChar">
    <w:name w:val="Comment Subject Char"/>
    <w:basedOn w:val="CommentTextChar"/>
    <w:link w:val="CommentSubject"/>
    <w:uiPriority w:val="99"/>
    <w:semiHidden/>
    <w:rsid w:val="009D2449"/>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C9492B"/>
    <w:rPr>
      <w:rFonts w:asciiTheme="majorHAnsi" w:eastAsiaTheme="majorEastAsia" w:hAnsiTheme="majorHAnsi" w:cstheme="majorBidi"/>
      <w:b/>
      <w:caps/>
      <w:color w:val="385623" w:themeColor="accent6" w:themeShade="80"/>
      <w:spacing w:val="10"/>
      <w:sz w:val="26"/>
      <w:szCs w:val="36"/>
    </w:rPr>
  </w:style>
  <w:style w:type="paragraph" w:styleId="Revision">
    <w:name w:val="Revision"/>
    <w:hidden/>
    <w:uiPriority w:val="99"/>
    <w:semiHidden/>
    <w:rsid w:val="004C5540"/>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CA74A0"/>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C9492B"/>
    <w:rPr>
      <w:rFonts w:asciiTheme="majorHAnsi" w:eastAsiaTheme="majorEastAsia" w:hAnsiTheme="majorHAnsi" w:cstheme="majorBidi"/>
      <w:b/>
      <w:color w:val="385623" w:themeColor="accent6" w:themeShade="80"/>
      <w:sz w:val="24"/>
      <w:szCs w:val="36"/>
    </w:rPr>
  </w:style>
  <w:style w:type="character" w:customStyle="1" w:styleId="Heading3Char">
    <w:name w:val="Heading 3 Char"/>
    <w:basedOn w:val="DefaultParagraphFont"/>
    <w:link w:val="Heading3"/>
    <w:uiPriority w:val="9"/>
    <w:semiHidden/>
    <w:rsid w:val="00B70ABB"/>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B70ABB"/>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B70ABB"/>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B70ABB"/>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B70ABB"/>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B70ABB"/>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B70ABB"/>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B70ABB"/>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B70A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B70ABB"/>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B70ABB"/>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B70ABB"/>
    <w:rPr>
      <w:color w:val="000000" w:themeColor="text1"/>
      <w:sz w:val="24"/>
      <w:szCs w:val="24"/>
    </w:rPr>
  </w:style>
  <w:style w:type="character" w:styleId="Strong">
    <w:name w:val="Strong"/>
    <w:basedOn w:val="DefaultParagraphFont"/>
    <w:uiPriority w:val="22"/>
    <w:qFormat/>
    <w:rsid w:val="00B70ABB"/>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B70ABB"/>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B70ABB"/>
    <w:pPr>
      <w:spacing w:after="0" w:line="240" w:lineRule="auto"/>
    </w:pPr>
  </w:style>
  <w:style w:type="paragraph" w:styleId="Quote">
    <w:name w:val="Quote"/>
    <w:basedOn w:val="Normal"/>
    <w:next w:val="Normal"/>
    <w:link w:val="QuoteChar"/>
    <w:uiPriority w:val="29"/>
    <w:qFormat/>
    <w:rsid w:val="00B70ABB"/>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B70ABB"/>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B70AB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B70ABB"/>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B70ABB"/>
    <w:rPr>
      <w:i/>
      <w:iCs/>
      <w:color w:val="auto"/>
    </w:rPr>
  </w:style>
  <w:style w:type="character" w:styleId="IntenseEmphasis">
    <w:name w:val="Intense Emphasis"/>
    <w:basedOn w:val="DefaultParagraphFont"/>
    <w:uiPriority w:val="21"/>
    <w:qFormat/>
    <w:rsid w:val="00B70AB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B70AB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B70AB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B70ABB"/>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B70ABB"/>
    <w:pPr>
      <w:outlineLvl w:val="9"/>
    </w:pPr>
  </w:style>
  <w:style w:type="paragraph" w:styleId="TOC1">
    <w:name w:val="toc 1"/>
    <w:basedOn w:val="Normal"/>
    <w:next w:val="Normal"/>
    <w:autoRedefine/>
    <w:uiPriority w:val="39"/>
    <w:unhideWhenUsed/>
    <w:rsid w:val="00B91A30"/>
    <w:pPr>
      <w:tabs>
        <w:tab w:val="right" w:leader="dot" w:pos="9345"/>
      </w:tabs>
      <w:spacing w:after="100"/>
    </w:pPr>
    <w:rPr>
      <w:b/>
      <w:bCs/>
      <w:noProof/>
      <w:lang w:val="en-US"/>
    </w:rPr>
  </w:style>
  <w:style w:type="paragraph" w:styleId="TOC2">
    <w:name w:val="toc 2"/>
    <w:basedOn w:val="Normal"/>
    <w:next w:val="Normal"/>
    <w:autoRedefine/>
    <w:uiPriority w:val="39"/>
    <w:unhideWhenUsed/>
    <w:rsid w:val="00B91A30"/>
    <w:pPr>
      <w:tabs>
        <w:tab w:val="left" w:pos="960"/>
        <w:tab w:val="right" w:leader="dot" w:pos="9345"/>
      </w:tabs>
      <w:spacing w:after="100"/>
      <w:ind w:left="210"/>
    </w:pPr>
  </w:style>
  <w:style w:type="paragraph" w:styleId="FootnoteText">
    <w:name w:val="footnote text"/>
    <w:basedOn w:val="Normal"/>
    <w:link w:val="FootnoteTextChar"/>
    <w:uiPriority w:val="34"/>
    <w:unhideWhenUsed/>
    <w:rsid w:val="002B0EB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29"/>
    <w:rsid w:val="002B0EB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33"/>
    <w:unhideWhenUsed/>
    <w:rsid w:val="002B0EB0"/>
    <w:rPr>
      <w:vertAlign w:val="superscript"/>
    </w:rPr>
  </w:style>
  <w:style w:type="character" w:styleId="UnresolvedMention">
    <w:name w:val="Unresolved Mention"/>
    <w:basedOn w:val="DefaultParagraphFont"/>
    <w:uiPriority w:val="99"/>
    <w:unhideWhenUsed/>
    <w:rsid w:val="00C66B6E"/>
    <w:rPr>
      <w:color w:val="605E5C"/>
      <w:shd w:val="clear" w:color="auto" w:fill="E1DFDD"/>
    </w:rPr>
  </w:style>
  <w:style w:type="character" w:styleId="FollowedHyperlink">
    <w:name w:val="FollowedHyperlink"/>
    <w:basedOn w:val="DefaultParagraphFont"/>
    <w:uiPriority w:val="99"/>
    <w:semiHidden/>
    <w:unhideWhenUsed/>
    <w:rsid w:val="00C66B6E"/>
    <w:rPr>
      <w:color w:val="954F72" w:themeColor="followedHyperlink"/>
      <w:u w:val="single"/>
    </w:rPr>
  </w:style>
  <w:style w:type="paragraph" w:customStyle="1" w:styleId="paragraph">
    <w:name w:val="paragraph"/>
    <w:basedOn w:val="Normal"/>
    <w:rsid w:val="006C40F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C40FF"/>
  </w:style>
  <w:style w:type="character" w:customStyle="1" w:styleId="eop">
    <w:name w:val="eop"/>
    <w:basedOn w:val="DefaultParagraphFont"/>
    <w:rsid w:val="006C40FF"/>
  </w:style>
  <w:style w:type="paragraph" w:styleId="NormalWeb">
    <w:name w:val="Normal (Web)"/>
    <w:basedOn w:val="Normal"/>
    <w:uiPriority w:val="99"/>
    <w:unhideWhenUsed/>
    <w:rsid w:val="003F4CEF"/>
    <w:pPr>
      <w:spacing w:line="259" w:lineRule="auto"/>
    </w:pPr>
    <w:rPr>
      <w:rFonts w:ascii="Times New Roman" w:eastAsiaTheme="minorHAnsi" w:hAnsi="Times New Roman" w:cs="Times New Roman"/>
      <w:kern w:val="2"/>
      <w:sz w:val="24"/>
      <w:szCs w:val="24"/>
      <w:lang w:val="en-US"/>
      <w14:ligatures w14:val="standardContextual"/>
    </w:rPr>
  </w:style>
  <w:style w:type="paragraph" w:customStyle="1" w:styleId="Default">
    <w:name w:val="Default"/>
    <w:rsid w:val="00B16D36"/>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21">
    <w:name w:val="Table Grid21"/>
    <w:basedOn w:val="TableNormal"/>
    <w:uiPriority w:val="39"/>
    <w:rsid w:val="00F1523C"/>
    <w:pPr>
      <w:spacing w:after="0" w:line="240" w:lineRule="auto"/>
    </w:pPr>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1523C"/>
    <w:pPr>
      <w:spacing w:after="0" w:line="240" w:lineRule="auto"/>
    </w:pPr>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1523C"/>
    <w:pPr>
      <w:spacing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D33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78287">
      <w:bodyDiv w:val="1"/>
      <w:marLeft w:val="0"/>
      <w:marRight w:val="0"/>
      <w:marTop w:val="0"/>
      <w:marBottom w:val="0"/>
      <w:divBdr>
        <w:top w:val="none" w:sz="0" w:space="0" w:color="auto"/>
        <w:left w:val="none" w:sz="0" w:space="0" w:color="auto"/>
        <w:bottom w:val="none" w:sz="0" w:space="0" w:color="auto"/>
        <w:right w:val="none" w:sz="0" w:space="0" w:color="auto"/>
      </w:divBdr>
      <w:divsChild>
        <w:div w:id="64954092">
          <w:marLeft w:val="360"/>
          <w:marRight w:val="0"/>
          <w:marTop w:val="200"/>
          <w:marBottom w:val="0"/>
          <w:divBdr>
            <w:top w:val="none" w:sz="0" w:space="0" w:color="auto"/>
            <w:left w:val="none" w:sz="0" w:space="0" w:color="auto"/>
            <w:bottom w:val="none" w:sz="0" w:space="0" w:color="auto"/>
            <w:right w:val="none" w:sz="0" w:space="0" w:color="auto"/>
          </w:divBdr>
        </w:div>
        <w:div w:id="1801221880">
          <w:marLeft w:val="360"/>
          <w:marRight w:val="0"/>
          <w:marTop w:val="200"/>
          <w:marBottom w:val="0"/>
          <w:divBdr>
            <w:top w:val="none" w:sz="0" w:space="0" w:color="auto"/>
            <w:left w:val="none" w:sz="0" w:space="0" w:color="auto"/>
            <w:bottom w:val="none" w:sz="0" w:space="0" w:color="auto"/>
            <w:right w:val="none" w:sz="0" w:space="0" w:color="auto"/>
          </w:divBdr>
        </w:div>
        <w:div w:id="1896820043">
          <w:marLeft w:val="360"/>
          <w:marRight w:val="0"/>
          <w:marTop w:val="200"/>
          <w:marBottom w:val="0"/>
          <w:divBdr>
            <w:top w:val="none" w:sz="0" w:space="0" w:color="auto"/>
            <w:left w:val="none" w:sz="0" w:space="0" w:color="auto"/>
            <w:bottom w:val="none" w:sz="0" w:space="0" w:color="auto"/>
            <w:right w:val="none" w:sz="0" w:space="0" w:color="auto"/>
          </w:divBdr>
        </w:div>
      </w:divsChild>
    </w:div>
    <w:div w:id="1043864882">
      <w:bodyDiv w:val="1"/>
      <w:marLeft w:val="0"/>
      <w:marRight w:val="0"/>
      <w:marTop w:val="0"/>
      <w:marBottom w:val="0"/>
      <w:divBdr>
        <w:top w:val="none" w:sz="0" w:space="0" w:color="auto"/>
        <w:left w:val="none" w:sz="0" w:space="0" w:color="auto"/>
        <w:bottom w:val="none" w:sz="0" w:space="0" w:color="auto"/>
        <w:right w:val="none" w:sz="0" w:space="0" w:color="auto"/>
      </w:divBdr>
      <w:divsChild>
        <w:div w:id="268395710">
          <w:marLeft w:val="0"/>
          <w:marRight w:val="0"/>
          <w:marTop w:val="0"/>
          <w:marBottom w:val="0"/>
          <w:divBdr>
            <w:top w:val="none" w:sz="0" w:space="0" w:color="auto"/>
            <w:left w:val="none" w:sz="0" w:space="0" w:color="auto"/>
            <w:bottom w:val="none" w:sz="0" w:space="0" w:color="auto"/>
            <w:right w:val="none" w:sz="0" w:space="0" w:color="auto"/>
          </w:divBdr>
          <w:divsChild>
            <w:div w:id="256984703">
              <w:marLeft w:val="0"/>
              <w:marRight w:val="0"/>
              <w:marTop w:val="0"/>
              <w:marBottom w:val="0"/>
              <w:divBdr>
                <w:top w:val="none" w:sz="0" w:space="0" w:color="auto"/>
                <w:left w:val="none" w:sz="0" w:space="0" w:color="auto"/>
                <w:bottom w:val="none" w:sz="0" w:space="0" w:color="auto"/>
                <w:right w:val="none" w:sz="0" w:space="0" w:color="auto"/>
              </w:divBdr>
            </w:div>
          </w:divsChild>
        </w:div>
        <w:div w:id="301733283">
          <w:marLeft w:val="0"/>
          <w:marRight w:val="0"/>
          <w:marTop w:val="0"/>
          <w:marBottom w:val="0"/>
          <w:divBdr>
            <w:top w:val="none" w:sz="0" w:space="0" w:color="auto"/>
            <w:left w:val="none" w:sz="0" w:space="0" w:color="auto"/>
            <w:bottom w:val="none" w:sz="0" w:space="0" w:color="auto"/>
            <w:right w:val="none" w:sz="0" w:space="0" w:color="auto"/>
          </w:divBdr>
          <w:divsChild>
            <w:div w:id="1594783482">
              <w:marLeft w:val="0"/>
              <w:marRight w:val="0"/>
              <w:marTop w:val="0"/>
              <w:marBottom w:val="0"/>
              <w:divBdr>
                <w:top w:val="none" w:sz="0" w:space="0" w:color="auto"/>
                <w:left w:val="none" w:sz="0" w:space="0" w:color="auto"/>
                <w:bottom w:val="none" w:sz="0" w:space="0" w:color="auto"/>
                <w:right w:val="none" w:sz="0" w:space="0" w:color="auto"/>
              </w:divBdr>
            </w:div>
          </w:divsChild>
        </w:div>
        <w:div w:id="586308037">
          <w:marLeft w:val="0"/>
          <w:marRight w:val="0"/>
          <w:marTop w:val="0"/>
          <w:marBottom w:val="0"/>
          <w:divBdr>
            <w:top w:val="none" w:sz="0" w:space="0" w:color="auto"/>
            <w:left w:val="none" w:sz="0" w:space="0" w:color="auto"/>
            <w:bottom w:val="none" w:sz="0" w:space="0" w:color="auto"/>
            <w:right w:val="none" w:sz="0" w:space="0" w:color="auto"/>
          </w:divBdr>
          <w:divsChild>
            <w:div w:id="238252855">
              <w:marLeft w:val="0"/>
              <w:marRight w:val="0"/>
              <w:marTop w:val="0"/>
              <w:marBottom w:val="0"/>
              <w:divBdr>
                <w:top w:val="none" w:sz="0" w:space="0" w:color="auto"/>
                <w:left w:val="none" w:sz="0" w:space="0" w:color="auto"/>
                <w:bottom w:val="none" w:sz="0" w:space="0" w:color="auto"/>
                <w:right w:val="none" w:sz="0" w:space="0" w:color="auto"/>
              </w:divBdr>
            </w:div>
          </w:divsChild>
        </w:div>
        <w:div w:id="1801343823">
          <w:marLeft w:val="0"/>
          <w:marRight w:val="0"/>
          <w:marTop w:val="0"/>
          <w:marBottom w:val="0"/>
          <w:divBdr>
            <w:top w:val="none" w:sz="0" w:space="0" w:color="auto"/>
            <w:left w:val="none" w:sz="0" w:space="0" w:color="auto"/>
            <w:bottom w:val="none" w:sz="0" w:space="0" w:color="auto"/>
            <w:right w:val="none" w:sz="0" w:space="0" w:color="auto"/>
          </w:divBdr>
          <w:divsChild>
            <w:div w:id="1884362399">
              <w:marLeft w:val="0"/>
              <w:marRight w:val="0"/>
              <w:marTop w:val="0"/>
              <w:marBottom w:val="0"/>
              <w:divBdr>
                <w:top w:val="none" w:sz="0" w:space="0" w:color="auto"/>
                <w:left w:val="none" w:sz="0" w:space="0" w:color="auto"/>
                <w:bottom w:val="none" w:sz="0" w:space="0" w:color="auto"/>
                <w:right w:val="none" w:sz="0" w:space="0" w:color="auto"/>
              </w:divBdr>
            </w:div>
          </w:divsChild>
        </w:div>
        <w:div w:id="2017537550">
          <w:marLeft w:val="0"/>
          <w:marRight w:val="0"/>
          <w:marTop w:val="0"/>
          <w:marBottom w:val="0"/>
          <w:divBdr>
            <w:top w:val="none" w:sz="0" w:space="0" w:color="auto"/>
            <w:left w:val="none" w:sz="0" w:space="0" w:color="auto"/>
            <w:bottom w:val="none" w:sz="0" w:space="0" w:color="auto"/>
            <w:right w:val="none" w:sz="0" w:space="0" w:color="auto"/>
          </w:divBdr>
          <w:divsChild>
            <w:div w:id="444465388">
              <w:marLeft w:val="0"/>
              <w:marRight w:val="0"/>
              <w:marTop w:val="0"/>
              <w:marBottom w:val="0"/>
              <w:divBdr>
                <w:top w:val="none" w:sz="0" w:space="0" w:color="auto"/>
                <w:left w:val="none" w:sz="0" w:space="0" w:color="auto"/>
                <w:bottom w:val="none" w:sz="0" w:space="0" w:color="auto"/>
                <w:right w:val="none" w:sz="0" w:space="0" w:color="auto"/>
              </w:divBdr>
            </w:div>
          </w:divsChild>
        </w:div>
        <w:div w:id="2098672823">
          <w:marLeft w:val="0"/>
          <w:marRight w:val="0"/>
          <w:marTop w:val="0"/>
          <w:marBottom w:val="0"/>
          <w:divBdr>
            <w:top w:val="none" w:sz="0" w:space="0" w:color="auto"/>
            <w:left w:val="none" w:sz="0" w:space="0" w:color="auto"/>
            <w:bottom w:val="none" w:sz="0" w:space="0" w:color="auto"/>
            <w:right w:val="none" w:sz="0" w:space="0" w:color="auto"/>
          </w:divBdr>
          <w:divsChild>
            <w:div w:id="17294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0394">
      <w:bodyDiv w:val="1"/>
      <w:marLeft w:val="0"/>
      <w:marRight w:val="0"/>
      <w:marTop w:val="0"/>
      <w:marBottom w:val="0"/>
      <w:divBdr>
        <w:top w:val="none" w:sz="0" w:space="0" w:color="auto"/>
        <w:left w:val="none" w:sz="0" w:space="0" w:color="auto"/>
        <w:bottom w:val="none" w:sz="0" w:space="0" w:color="auto"/>
        <w:right w:val="none" w:sz="0" w:space="0" w:color="auto"/>
      </w:divBdr>
    </w:div>
    <w:div w:id="2006401223">
      <w:bodyDiv w:val="1"/>
      <w:marLeft w:val="0"/>
      <w:marRight w:val="0"/>
      <w:marTop w:val="0"/>
      <w:marBottom w:val="0"/>
      <w:divBdr>
        <w:top w:val="none" w:sz="0" w:space="0" w:color="auto"/>
        <w:left w:val="none" w:sz="0" w:space="0" w:color="auto"/>
        <w:bottom w:val="none" w:sz="0" w:space="0" w:color="auto"/>
        <w:right w:val="none" w:sz="0" w:space="0" w:color="auto"/>
      </w:divBdr>
      <w:divsChild>
        <w:div w:id="625279213">
          <w:marLeft w:val="0"/>
          <w:marRight w:val="0"/>
          <w:marTop w:val="0"/>
          <w:marBottom w:val="0"/>
          <w:divBdr>
            <w:top w:val="none" w:sz="0" w:space="0" w:color="auto"/>
            <w:left w:val="none" w:sz="0" w:space="0" w:color="auto"/>
            <w:bottom w:val="none" w:sz="0" w:space="0" w:color="auto"/>
            <w:right w:val="none" w:sz="0" w:space="0" w:color="auto"/>
          </w:divBdr>
        </w:div>
        <w:div w:id="699669730">
          <w:marLeft w:val="0"/>
          <w:marRight w:val="0"/>
          <w:marTop w:val="0"/>
          <w:marBottom w:val="0"/>
          <w:divBdr>
            <w:top w:val="none" w:sz="0" w:space="0" w:color="auto"/>
            <w:left w:val="none" w:sz="0" w:space="0" w:color="auto"/>
            <w:bottom w:val="none" w:sz="0" w:space="0" w:color="auto"/>
            <w:right w:val="none" w:sz="0" w:space="0" w:color="auto"/>
          </w:divBdr>
        </w:div>
        <w:div w:id="701826583">
          <w:marLeft w:val="0"/>
          <w:marRight w:val="0"/>
          <w:marTop w:val="0"/>
          <w:marBottom w:val="0"/>
          <w:divBdr>
            <w:top w:val="none" w:sz="0" w:space="0" w:color="auto"/>
            <w:left w:val="none" w:sz="0" w:space="0" w:color="auto"/>
            <w:bottom w:val="none" w:sz="0" w:space="0" w:color="auto"/>
            <w:right w:val="none" w:sz="0" w:space="0" w:color="auto"/>
          </w:divBdr>
          <w:divsChild>
            <w:div w:id="282461706">
              <w:marLeft w:val="-75"/>
              <w:marRight w:val="0"/>
              <w:marTop w:val="30"/>
              <w:marBottom w:val="30"/>
              <w:divBdr>
                <w:top w:val="none" w:sz="0" w:space="0" w:color="auto"/>
                <w:left w:val="none" w:sz="0" w:space="0" w:color="auto"/>
                <w:bottom w:val="none" w:sz="0" w:space="0" w:color="auto"/>
                <w:right w:val="none" w:sz="0" w:space="0" w:color="auto"/>
              </w:divBdr>
              <w:divsChild>
                <w:div w:id="55278507">
                  <w:marLeft w:val="0"/>
                  <w:marRight w:val="0"/>
                  <w:marTop w:val="0"/>
                  <w:marBottom w:val="0"/>
                  <w:divBdr>
                    <w:top w:val="none" w:sz="0" w:space="0" w:color="auto"/>
                    <w:left w:val="none" w:sz="0" w:space="0" w:color="auto"/>
                    <w:bottom w:val="none" w:sz="0" w:space="0" w:color="auto"/>
                    <w:right w:val="none" w:sz="0" w:space="0" w:color="auto"/>
                  </w:divBdr>
                  <w:divsChild>
                    <w:div w:id="690381220">
                      <w:marLeft w:val="0"/>
                      <w:marRight w:val="0"/>
                      <w:marTop w:val="0"/>
                      <w:marBottom w:val="0"/>
                      <w:divBdr>
                        <w:top w:val="none" w:sz="0" w:space="0" w:color="auto"/>
                        <w:left w:val="none" w:sz="0" w:space="0" w:color="auto"/>
                        <w:bottom w:val="none" w:sz="0" w:space="0" w:color="auto"/>
                        <w:right w:val="none" w:sz="0" w:space="0" w:color="auto"/>
                      </w:divBdr>
                    </w:div>
                  </w:divsChild>
                </w:div>
                <w:div w:id="67577593">
                  <w:marLeft w:val="0"/>
                  <w:marRight w:val="0"/>
                  <w:marTop w:val="0"/>
                  <w:marBottom w:val="0"/>
                  <w:divBdr>
                    <w:top w:val="none" w:sz="0" w:space="0" w:color="auto"/>
                    <w:left w:val="none" w:sz="0" w:space="0" w:color="auto"/>
                    <w:bottom w:val="none" w:sz="0" w:space="0" w:color="auto"/>
                    <w:right w:val="none" w:sz="0" w:space="0" w:color="auto"/>
                  </w:divBdr>
                  <w:divsChild>
                    <w:div w:id="1654260983">
                      <w:marLeft w:val="0"/>
                      <w:marRight w:val="0"/>
                      <w:marTop w:val="0"/>
                      <w:marBottom w:val="0"/>
                      <w:divBdr>
                        <w:top w:val="none" w:sz="0" w:space="0" w:color="auto"/>
                        <w:left w:val="none" w:sz="0" w:space="0" w:color="auto"/>
                        <w:bottom w:val="none" w:sz="0" w:space="0" w:color="auto"/>
                        <w:right w:val="none" w:sz="0" w:space="0" w:color="auto"/>
                      </w:divBdr>
                    </w:div>
                  </w:divsChild>
                </w:div>
                <w:div w:id="206842681">
                  <w:marLeft w:val="0"/>
                  <w:marRight w:val="0"/>
                  <w:marTop w:val="0"/>
                  <w:marBottom w:val="0"/>
                  <w:divBdr>
                    <w:top w:val="none" w:sz="0" w:space="0" w:color="auto"/>
                    <w:left w:val="none" w:sz="0" w:space="0" w:color="auto"/>
                    <w:bottom w:val="none" w:sz="0" w:space="0" w:color="auto"/>
                    <w:right w:val="none" w:sz="0" w:space="0" w:color="auto"/>
                  </w:divBdr>
                  <w:divsChild>
                    <w:div w:id="1195852221">
                      <w:marLeft w:val="0"/>
                      <w:marRight w:val="0"/>
                      <w:marTop w:val="0"/>
                      <w:marBottom w:val="0"/>
                      <w:divBdr>
                        <w:top w:val="none" w:sz="0" w:space="0" w:color="auto"/>
                        <w:left w:val="none" w:sz="0" w:space="0" w:color="auto"/>
                        <w:bottom w:val="none" w:sz="0" w:space="0" w:color="auto"/>
                        <w:right w:val="none" w:sz="0" w:space="0" w:color="auto"/>
                      </w:divBdr>
                    </w:div>
                  </w:divsChild>
                </w:div>
                <w:div w:id="316767296">
                  <w:marLeft w:val="0"/>
                  <w:marRight w:val="0"/>
                  <w:marTop w:val="0"/>
                  <w:marBottom w:val="0"/>
                  <w:divBdr>
                    <w:top w:val="none" w:sz="0" w:space="0" w:color="auto"/>
                    <w:left w:val="none" w:sz="0" w:space="0" w:color="auto"/>
                    <w:bottom w:val="none" w:sz="0" w:space="0" w:color="auto"/>
                    <w:right w:val="none" w:sz="0" w:space="0" w:color="auto"/>
                  </w:divBdr>
                  <w:divsChild>
                    <w:div w:id="1051542229">
                      <w:marLeft w:val="0"/>
                      <w:marRight w:val="0"/>
                      <w:marTop w:val="0"/>
                      <w:marBottom w:val="0"/>
                      <w:divBdr>
                        <w:top w:val="none" w:sz="0" w:space="0" w:color="auto"/>
                        <w:left w:val="none" w:sz="0" w:space="0" w:color="auto"/>
                        <w:bottom w:val="none" w:sz="0" w:space="0" w:color="auto"/>
                        <w:right w:val="none" w:sz="0" w:space="0" w:color="auto"/>
                      </w:divBdr>
                    </w:div>
                  </w:divsChild>
                </w:div>
                <w:div w:id="413671703">
                  <w:marLeft w:val="0"/>
                  <w:marRight w:val="0"/>
                  <w:marTop w:val="0"/>
                  <w:marBottom w:val="0"/>
                  <w:divBdr>
                    <w:top w:val="none" w:sz="0" w:space="0" w:color="auto"/>
                    <w:left w:val="none" w:sz="0" w:space="0" w:color="auto"/>
                    <w:bottom w:val="none" w:sz="0" w:space="0" w:color="auto"/>
                    <w:right w:val="none" w:sz="0" w:space="0" w:color="auto"/>
                  </w:divBdr>
                  <w:divsChild>
                    <w:div w:id="437990378">
                      <w:marLeft w:val="0"/>
                      <w:marRight w:val="0"/>
                      <w:marTop w:val="0"/>
                      <w:marBottom w:val="0"/>
                      <w:divBdr>
                        <w:top w:val="none" w:sz="0" w:space="0" w:color="auto"/>
                        <w:left w:val="none" w:sz="0" w:space="0" w:color="auto"/>
                        <w:bottom w:val="none" w:sz="0" w:space="0" w:color="auto"/>
                        <w:right w:val="none" w:sz="0" w:space="0" w:color="auto"/>
                      </w:divBdr>
                    </w:div>
                    <w:div w:id="832987787">
                      <w:marLeft w:val="0"/>
                      <w:marRight w:val="0"/>
                      <w:marTop w:val="0"/>
                      <w:marBottom w:val="0"/>
                      <w:divBdr>
                        <w:top w:val="none" w:sz="0" w:space="0" w:color="auto"/>
                        <w:left w:val="none" w:sz="0" w:space="0" w:color="auto"/>
                        <w:bottom w:val="none" w:sz="0" w:space="0" w:color="auto"/>
                        <w:right w:val="none" w:sz="0" w:space="0" w:color="auto"/>
                      </w:divBdr>
                    </w:div>
                  </w:divsChild>
                </w:div>
                <w:div w:id="456607947">
                  <w:marLeft w:val="0"/>
                  <w:marRight w:val="0"/>
                  <w:marTop w:val="0"/>
                  <w:marBottom w:val="0"/>
                  <w:divBdr>
                    <w:top w:val="none" w:sz="0" w:space="0" w:color="auto"/>
                    <w:left w:val="none" w:sz="0" w:space="0" w:color="auto"/>
                    <w:bottom w:val="none" w:sz="0" w:space="0" w:color="auto"/>
                    <w:right w:val="none" w:sz="0" w:space="0" w:color="auto"/>
                  </w:divBdr>
                  <w:divsChild>
                    <w:div w:id="520903053">
                      <w:marLeft w:val="0"/>
                      <w:marRight w:val="0"/>
                      <w:marTop w:val="0"/>
                      <w:marBottom w:val="0"/>
                      <w:divBdr>
                        <w:top w:val="none" w:sz="0" w:space="0" w:color="auto"/>
                        <w:left w:val="none" w:sz="0" w:space="0" w:color="auto"/>
                        <w:bottom w:val="none" w:sz="0" w:space="0" w:color="auto"/>
                        <w:right w:val="none" w:sz="0" w:space="0" w:color="auto"/>
                      </w:divBdr>
                    </w:div>
                  </w:divsChild>
                </w:div>
                <w:div w:id="702826178">
                  <w:marLeft w:val="0"/>
                  <w:marRight w:val="0"/>
                  <w:marTop w:val="0"/>
                  <w:marBottom w:val="0"/>
                  <w:divBdr>
                    <w:top w:val="none" w:sz="0" w:space="0" w:color="auto"/>
                    <w:left w:val="none" w:sz="0" w:space="0" w:color="auto"/>
                    <w:bottom w:val="none" w:sz="0" w:space="0" w:color="auto"/>
                    <w:right w:val="none" w:sz="0" w:space="0" w:color="auto"/>
                  </w:divBdr>
                  <w:divsChild>
                    <w:div w:id="1009721134">
                      <w:marLeft w:val="0"/>
                      <w:marRight w:val="0"/>
                      <w:marTop w:val="0"/>
                      <w:marBottom w:val="0"/>
                      <w:divBdr>
                        <w:top w:val="none" w:sz="0" w:space="0" w:color="auto"/>
                        <w:left w:val="none" w:sz="0" w:space="0" w:color="auto"/>
                        <w:bottom w:val="none" w:sz="0" w:space="0" w:color="auto"/>
                        <w:right w:val="none" w:sz="0" w:space="0" w:color="auto"/>
                      </w:divBdr>
                    </w:div>
                  </w:divsChild>
                </w:div>
                <w:div w:id="722289340">
                  <w:marLeft w:val="0"/>
                  <w:marRight w:val="0"/>
                  <w:marTop w:val="0"/>
                  <w:marBottom w:val="0"/>
                  <w:divBdr>
                    <w:top w:val="none" w:sz="0" w:space="0" w:color="auto"/>
                    <w:left w:val="none" w:sz="0" w:space="0" w:color="auto"/>
                    <w:bottom w:val="none" w:sz="0" w:space="0" w:color="auto"/>
                    <w:right w:val="none" w:sz="0" w:space="0" w:color="auto"/>
                  </w:divBdr>
                  <w:divsChild>
                    <w:div w:id="356470283">
                      <w:marLeft w:val="0"/>
                      <w:marRight w:val="0"/>
                      <w:marTop w:val="0"/>
                      <w:marBottom w:val="0"/>
                      <w:divBdr>
                        <w:top w:val="none" w:sz="0" w:space="0" w:color="auto"/>
                        <w:left w:val="none" w:sz="0" w:space="0" w:color="auto"/>
                        <w:bottom w:val="none" w:sz="0" w:space="0" w:color="auto"/>
                        <w:right w:val="none" w:sz="0" w:space="0" w:color="auto"/>
                      </w:divBdr>
                    </w:div>
                  </w:divsChild>
                </w:div>
                <w:div w:id="961157121">
                  <w:marLeft w:val="0"/>
                  <w:marRight w:val="0"/>
                  <w:marTop w:val="0"/>
                  <w:marBottom w:val="0"/>
                  <w:divBdr>
                    <w:top w:val="none" w:sz="0" w:space="0" w:color="auto"/>
                    <w:left w:val="none" w:sz="0" w:space="0" w:color="auto"/>
                    <w:bottom w:val="none" w:sz="0" w:space="0" w:color="auto"/>
                    <w:right w:val="none" w:sz="0" w:space="0" w:color="auto"/>
                  </w:divBdr>
                  <w:divsChild>
                    <w:div w:id="280453858">
                      <w:marLeft w:val="0"/>
                      <w:marRight w:val="0"/>
                      <w:marTop w:val="0"/>
                      <w:marBottom w:val="0"/>
                      <w:divBdr>
                        <w:top w:val="none" w:sz="0" w:space="0" w:color="auto"/>
                        <w:left w:val="none" w:sz="0" w:space="0" w:color="auto"/>
                        <w:bottom w:val="none" w:sz="0" w:space="0" w:color="auto"/>
                        <w:right w:val="none" w:sz="0" w:space="0" w:color="auto"/>
                      </w:divBdr>
                    </w:div>
                    <w:div w:id="485780726">
                      <w:marLeft w:val="0"/>
                      <w:marRight w:val="0"/>
                      <w:marTop w:val="0"/>
                      <w:marBottom w:val="0"/>
                      <w:divBdr>
                        <w:top w:val="none" w:sz="0" w:space="0" w:color="auto"/>
                        <w:left w:val="none" w:sz="0" w:space="0" w:color="auto"/>
                        <w:bottom w:val="none" w:sz="0" w:space="0" w:color="auto"/>
                        <w:right w:val="none" w:sz="0" w:space="0" w:color="auto"/>
                      </w:divBdr>
                    </w:div>
                    <w:div w:id="704719378">
                      <w:marLeft w:val="0"/>
                      <w:marRight w:val="0"/>
                      <w:marTop w:val="0"/>
                      <w:marBottom w:val="0"/>
                      <w:divBdr>
                        <w:top w:val="none" w:sz="0" w:space="0" w:color="auto"/>
                        <w:left w:val="none" w:sz="0" w:space="0" w:color="auto"/>
                        <w:bottom w:val="none" w:sz="0" w:space="0" w:color="auto"/>
                        <w:right w:val="none" w:sz="0" w:space="0" w:color="auto"/>
                      </w:divBdr>
                    </w:div>
                    <w:div w:id="729113641">
                      <w:marLeft w:val="0"/>
                      <w:marRight w:val="0"/>
                      <w:marTop w:val="0"/>
                      <w:marBottom w:val="0"/>
                      <w:divBdr>
                        <w:top w:val="none" w:sz="0" w:space="0" w:color="auto"/>
                        <w:left w:val="none" w:sz="0" w:space="0" w:color="auto"/>
                        <w:bottom w:val="none" w:sz="0" w:space="0" w:color="auto"/>
                        <w:right w:val="none" w:sz="0" w:space="0" w:color="auto"/>
                      </w:divBdr>
                    </w:div>
                    <w:div w:id="1126312032">
                      <w:marLeft w:val="0"/>
                      <w:marRight w:val="0"/>
                      <w:marTop w:val="0"/>
                      <w:marBottom w:val="0"/>
                      <w:divBdr>
                        <w:top w:val="none" w:sz="0" w:space="0" w:color="auto"/>
                        <w:left w:val="none" w:sz="0" w:space="0" w:color="auto"/>
                        <w:bottom w:val="none" w:sz="0" w:space="0" w:color="auto"/>
                        <w:right w:val="none" w:sz="0" w:space="0" w:color="auto"/>
                      </w:divBdr>
                    </w:div>
                    <w:div w:id="1213417904">
                      <w:marLeft w:val="0"/>
                      <w:marRight w:val="0"/>
                      <w:marTop w:val="0"/>
                      <w:marBottom w:val="0"/>
                      <w:divBdr>
                        <w:top w:val="none" w:sz="0" w:space="0" w:color="auto"/>
                        <w:left w:val="none" w:sz="0" w:space="0" w:color="auto"/>
                        <w:bottom w:val="none" w:sz="0" w:space="0" w:color="auto"/>
                        <w:right w:val="none" w:sz="0" w:space="0" w:color="auto"/>
                      </w:divBdr>
                    </w:div>
                    <w:div w:id="1277372254">
                      <w:marLeft w:val="0"/>
                      <w:marRight w:val="0"/>
                      <w:marTop w:val="0"/>
                      <w:marBottom w:val="0"/>
                      <w:divBdr>
                        <w:top w:val="none" w:sz="0" w:space="0" w:color="auto"/>
                        <w:left w:val="none" w:sz="0" w:space="0" w:color="auto"/>
                        <w:bottom w:val="none" w:sz="0" w:space="0" w:color="auto"/>
                        <w:right w:val="none" w:sz="0" w:space="0" w:color="auto"/>
                      </w:divBdr>
                    </w:div>
                    <w:div w:id="1293291314">
                      <w:marLeft w:val="0"/>
                      <w:marRight w:val="0"/>
                      <w:marTop w:val="0"/>
                      <w:marBottom w:val="0"/>
                      <w:divBdr>
                        <w:top w:val="none" w:sz="0" w:space="0" w:color="auto"/>
                        <w:left w:val="none" w:sz="0" w:space="0" w:color="auto"/>
                        <w:bottom w:val="none" w:sz="0" w:space="0" w:color="auto"/>
                        <w:right w:val="none" w:sz="0" w:space="0" w:color="auto"/>
                      </w:divBdr>
                    </w:div>
                    <w:div w:id="1706519214">
                      <w:marLeft w:val="0"/>
                      <w:marRight w:val="0"/>
                      <w:marTop w:val="0"/>
                      <w:marBottom w:val="0"/>
                      <w:divBdr>
                        <w:top w:val="none" w:sz="0" w:space="0" w:color="auto"/>
                        <w:left w:val="none" w:sz="0" w:space="0" w:color="auto"/>
                        <w:bottom w:val="none" w:sz="0" w:space="0" w:color="auto"/>
                        <w:right w:val="none" w:sz="0" w:space="0" w:color="auto"/>
                      </w:divBdr>
                    </w:div>
                    <w:div w:id="1886676832">
                      <w:marLeft w:val="0"/>
                      <w:marRight w:val="0"/>
                      <w:marTop w:val="0"/>
                      <w:marBottom w:val="0"/>
                      <w:divBdr>
                        <w:top w:val="none" w:sz="0" w:space="0" w:color="auto"/>
                        <w:left w:val="none" w:sz="0" w:space="0" w:color="auto"/>
                        <w:bottom w:val="none" w:sz="0" w:space="0" w:color="auto"/>
                        <w:right w:val="none" w:sz="0" w:space="0" w:color="auto"/>
                      </w:divBdr>
                    </w:div>
                    <w:div w:id="1954705651">
                      <w:marLeft w:val="0"/>
                      <w:marRight w:val="0"/>
                      <w:marTop w:val="0"/>
                      <w:marBottom w:val="0"/>
                      <w:divBdr>
                        <w:top w:val="none" w:sz="0" w:space="0" w:color="auto"/>
                        <w:left w:val="none" w:sz="0" w:space="0" w:color="auto"/>
                        <w:bottom w:val="none" w:sz="0" w:space="0" w:color="auto"/>
                        <w:right w:val="none" w:sz="0" w:space="0" w:color="auto"/>
                      </w:divBdr>
                    </w:div>
                    <w:div w:id="2041003531">
                      <w:marLeft w:val="0"/>
                      <w:marRight w:val="0"/>
                      <w:marTop w:val="0"/>
                      <w:marBottom w:val="0"/>
                      <w:divBdr>
                        <w:top w:val="none" w:sz="0" w:space="0" w:color="auto"/>
                        <w:left w:val="none" w:sz="0" w:space="0" w:color="auto"/>
                        <w:bottom w:val="none" w:sz="0" w:space="0" w:color="auto"/>
                        <w:right w:val="none" w:sz="0" w:space="0" w:color="auto"/>
                      </w:divBdr>
                    </w:div>
                    <w:div w:id="2066487109">
                      <w:marLeft w:val="0"/>
                      <w:marRight w:val="0"/>
                      <w:marTop w:val="0"/>
                      <w:marBottom w:val="0"/>
                      <w:divBdr>
                        <w:top w:val="none" w:sz="0" w:space="0" w:color="auto"/>
                        <w:left w:val="none" w:sz="0" w:space="0" w:color="auto"/>
                        <w:bottom w:val="none" w:sz="0" w:space="0" w:color="auto"/>
                        <w:right w:val="none" w:sz="0" w:space="0" w:color="auto"/>
                      </w:divBdr>
                    </w:div>
                  </w:divsChild>
                </w:div>
                <w:div w:id="1093890965">
                  <w:marLeft w:val="0"/>
                  <w:marRight w:val="0"/>
                  <w:marTop w:val="0"/>
                  <w:marBottom w:val="0"/>
                  <w:divBdr>
                    <w:top w:val="none" w:sz="0" w:space="0" w:color="auto"/>
                    <w:left w:val="none" w:sz="0" w:space="0" w:color="auto"/>
                    <w:bottom w:val="none" w:sz="0" w:space="0" w:color="auto"/>
                    <w:right w:val="none" w:sz="0" w:space="0" w:color="auto"/>
                  </w:divBdr>
                  <w:divsChild>
                    <w:div w:id="1551845176">
                      <w:marLeft w:val="0"/>
                      <w:marRight w:val="0"/>
                      <w:marTop w:val="0"/>
                      <w:marBottom w:val="0"/>
                      <w:divBdr>
                        <w:top w:val="none" w:sz="0" w:space="0" w:color="auto"/>
                        <w:left w:val="none" w:sz="0" w:space="0" w:color="auto"/>
                        <w:bottom w:val="none" w:sz="0" w:space="0" w:color="auto"/>
                        <w:right w:val="none" w:sz="0" w:space="0" w:color="auto"/>
                      </w:divBdr>
                    </w:div>
                  </w:divsChild>
                </w:div>
                <w:div w:id="1458841206">
                  <w:marLeft w:val="0"/>
                  <w:marRight w:val="0"/>
                  <w:marTop w:val="0"/>
                  <w:marBottom w:val="0"/>
                  <w:divBdr>
                    <w:top w:val="none" w:sz="0" w:space="0" w:color="auto"/>
                    <w:left w:val="none" w:sz="0" w:space="0" w:color="auto"/>
                    <w:bottom w:val="none" w:sz="0" w:space="0" w:color="auto"/>
                    <w:right w:val="none" w:sz="0" w:space="0" w:color="auto"/>
                  </w:divBdr>
                  <w:divsChild>
                    <w:div w:id="721059361">
                      <w:marLeft w:val="0"/>
                      <w:marRight w:val="0"/>
                      <w:marTop w:val="0"/>
                      <w:marBottom w:val="0"/>
                      <w:divBdr>
                        <w:top w:val="none" w:sz="0" w:space="0" w:color="auto"/>
                        <w:left w:val="none" w:sz="0" w:space="0" w:color="auto"/>
                        <w:bottom w:val="none" w:sz="0" w:space="0" w:color="auto"/>
                        <w:right w:val="none" w:sz="0" w:space="0" w:color="auto"/>
                      </w:divBdr>
                    </w:div>
                  </w:divsChild>
                </w:div>
                <w:div w:id="1806046691">
                  <w:marLeft w:val="0"/>
                  <w:marRight w:val="0"/>
                  <w:marTop w:val="0"/>
                  <w:marBottom w:val="0"/>
                  <w:divBdr>
                    <w:top w:val="none" w:sz="0" w:space="0" w:color="auto"/>
                    <w:left w:val="none" w:sz="0" w:space="0" w:color="auto"/>
                    <w:bottom w:val="none" w:sz="0" w:space="0" w:color="auto"/>
                    <w:right w:val="none" w:sz="0" w:space="0" w:color="auto"/>
                  </w:divBdr>
                  <w:divsChild>
                    <w:div w:id="796947941">
                      <w:marLeft w:val="0"/>
                      <w:marRight w:val="0"/>
                      <w:marTop w:val="0"/>
                      <w:marBottom w:val="0"/>
                      <w:divBdr>
                        <w:top w:val="none" w:sz="0" w:space="0" w:color="auto"/>
                        <w:left w:val="none" w:sz="0" w:space="0" w:color="auto"/>
                        <w:bottom w:val="none" w:sz="0" w:space="0" w:color="auto"/>
                        <w:right w:val="none" w:sz="0" w:space="0" w:color="auto"/>
                      </w:divBdr>
                    </w:div>
                  </w:divsChild>
                </w:div>
                <w:div w:id="1977221805">
                  <w:marLeft w:val="0"/>
                  <w:marRight w:val="0"/>
                  <w:marTop w:val="0"/>
                  <w:marBottom w:val="0"/>
                  <w:divBdr>
                    <w:top w:val="none" w:sz="0" w:space="0" w:color="auto"/>
                    <w:left w:val="none" w:sz="0" w:space="0" w:color="auto"/>
                    <w:bottom w:val="none" w:sz="0" w:space="0" w:color="auto"/>
                    <w:right w:val="none" w:sz="0" w:space="0" w:color="auto"/>
                  </w:divBdr>
                  <w:divsChild>
                    <w:div w:id="1766221260">
                      <w:marLeft w:val="0"/>
                      <w:marRight w:val="0"/>
                      <w:marTop w:val="0"/>
                      <w:marBottom w:val="0"/>
                      <w:divBdr>
                        <w:top w:val="none" w:sz="0" w:space="0" w:color="auto"/>
                        <w:left w:val="none" w:sz="0" w:space="0" w:color="auto"/>
                        <w:bottom w:val="none" w:sz="0" w:space="0" w:color="auto"/>
                        <w:right w:val="none" w:sz="0" w:space="0" w:color="auto"/>
                      </w:divBdr>
                    </w:div>
                  </w:divsChild>
                </w:div>
                <w:div w:id="2138139911">
                  <w:marLeft w:val="0"/>
                  <w:marRight w:val="0"/>
                  <w:marTop w:val="0"/>
                  <w:marBottom w:val="0"/>
                  <w:divBdr>
                    <w:top w:val="none" w:sz="0" w:space="0" w:color="auto"/>
                    <w:left w:val="none" w:sz="0" w:space="0" w:color="auto"/>
                    <w:bottom w:val="none" w:sz="0" w:space="0" w:color="auto"/>
                    <w:right w:val="none" w:sz="0" w:space="0" w:color="auto"/>
                  </w:divBdr>
                  <w:divsChild>
                    <w:div w:id="8531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who.int/europe/initiatives/european-environment-and-health-process-(ehp)/european-environment-and-health-process-(ehp)-newslett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iris.who.int/handle/10665/368102?order=desc&amp;query=Human+biomonitoring+programmes%3A+importance+for+protecting+human+health+from+negative+impacts+of+chemicals%3A+technical+summary&amp;rpp=10&amp;scope=&amp;search-result=true&amp;sort_by=score" TargetMode="External"/><Relationship Id="rId2" Type="http://schemas.openxmlformats.org/officeDocument/2006/relationships/customXml" Target="../customXml/item2.xml"/><Relationship Id="rId16" Type="http://schemas.openxmlformats.org/officeDocument/2006/relationships/hyperlink" Target="https://iris.who.int/handle/10665/369233?order=desc&amp;query=Uptake+and+impact+of+the+WHO+Environmental+noise+guidelines+for+the+European+Region%3A+experiences+from+Member+States&amp;rpp=10&amp;scope=&amp;search-result=true&amp;sort_by=scor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iris.who.int/handle/10665/369596"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orldhealthorg.sharepoint.com/sites/ws-EEHP/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urope/publications/i/item/EHTF-rules-of-procedure-202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ris.who.int/handle/10665/368164" TargetMode="External"/><Relationship Id="rId13" Type="http://schemas.openxmlformats.org/officeDocument/2006/relationships/hyperlink" Target="https://iris.who.int/handle/10665/368159" TargetMode="External"/><Relationship Id="rId3" Type="http://schemas.openxmlformats.org/officeDocument/2006/relationships/hyperlink" Target="https://iris.who.int/handle/10665/368161" TargetMode="External"/><Relationship Id="rId7" Type="http://schemas.openxmlformats.org/officeDocument/2006/relationships/hyperlink" Target="https://ec.europa.eu/info/strategy/priorities-2019-2024/european-green-deal_en" TargetMode="External"/><Relationship Id="rId12" Type="http://schemas.openxmlformats.org/officeDocument/2006/relationships/hyperlink" Target="https://iris.who.int/handle/10665/368166" TargetMode="External"/><Relationship Id="rId2" Type="http://schemas.openxmlformats.org/officeDocument/2006/relationships/hyperlink" Target="https://iris.who.int/handle/10665/331959" TargetMode="External"/><Relationship Id="rId1" Type="http://schemas.openxmlformats.org/officeDocument/2006/relationships/hyperlink" Target="https://sdgs.un.org/2030agenda" TargetMode="External"/><Relationship Id="rId6" Type="http://schemas.openxmlformats.org/officeDocument/2006/relationships/hyperlink" Target="https://www.urbanagendaplatform.org/nua" TargetMode="External"/><Relationship Id="rId11" Type="http://schemas.openxmlformats.org/officeDocument/2006/relationships/hyperlink" Target="https://iris.who.int/handle/10665/370972" TargetMode="External"/><Relationship Id="rId5" Type="http://schemas.openxmlformats.org/officeDocument/2006/relationships/hyperlink" Target="https://iris.who.int/handle/10665/344883" TargetMode="External"/><Relationship Id="rId10" Type="http://schemas.openxmlformats.org/officeDocument/2006/relationships/hyperlink" Target="https://iris.who.int/handle/10665/364330" TargetMode="External"/><Relationship Id="rId4" Type="http://schemas.openxmlformats.org/officeDocument/2006/relationships/hyperlink" Target="https://www.who.int/about/general-programme-of-work/fourteenth" TargetMode="External"/><Relationship Id="rId9" Type="http://schemas.openxmlformats.org/officeDocument/2006/relationships/hyperlink" Target="https://iris.who.int/handle/10665/345932" TargetMode="External"/></Relationships>
</file>

<file path=word/documenttasks/documenttasks1.xml><?xml version="1.0" encoding="utf-8"?>
<t:Tasks xmlns:t="http://schemas.microsoft.com/office/tasks/2019/documenttasks" xmlns:oel="http://schemas.microsoft.com/office/2019/extlst">
  <t:Task id="{9BD85AA1-37BD-4334-9897-BA242FD61C57}">
    <t:Anchor>
      <t:Comment id="1214223103"/>
    </t:Anchor>
    <t:History>
      <t:Event id="{D2DA3333-9F43-464C-9D6C-47BC23D95594}" time="2023-01-26T13:19:20.896Z">
        <t:Attribution userId="S::dodosj@who.int::066cd169-8bc1-4e74-b882-23ff90d2b549" userProvider="AD" userName="DODOS, Jovana"/>
        <t:Anchor>
          <t:Comment id="1214223103"/>
        </t:Anchor>
        <t:Create/>
      </t:Event>
      <t:Event id="{425EE201-24FC-4B57-84BA-32FD4DDEFD9C}" time="2023-01-26T13:19:20.896Z">
        <t:Attribution userId="S::dodosj@who.int::066cd169-8bc1-4e74-b882-23ff90d2b549" userProvider="AD" userName="DODOS, Jovana"/>
        <t:Anchor>
          <t:Comment id="1214223103"/>
        </t:Anchor>
        <t:Assign userId="S::adamonyted@who.int::7a91fdf6-b3fb-4304-8049-e6ff6969f476" userProvider="AD" userName="Adamonyte, Dovile"/>
      </t:Event>
      <t:Event id="{E6DC59AF-263A-427C-B5BC-6B414E0D60AD}" time="2023-01-26T13:19:20.896Z">
        <t:Attribution userId="S::dodosj@who.int::066cd169-8bc1-4e74-b882-23ff90d2b549" userProvider="AD" userName="DODOS, Jovana"/>
        <t:Anchor>
          <t:Comment id="1214223103"/>
        </t:Anchor>
        <t:SetTitle title="@Adamonyte, Dovile I still belive we should flag / remind Bureau of the NP survey. Maybe it is premature to say that we will have any results by 28 Feb, but it is definitly a great opportunity to further promote it and encourage MS to particip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f10499d-8e73-4567-bcd2-e9ccb9466658" xsi:nil="true"/>
    <lcf76f155ced4ddcb4097134ff3c332f xmlns="7781c099-4fd0-48fd-8f96-0163cf7be544">
      <Terms xmlns="http://schemas.microsoft.com/office/infopath/2007/PartnerControls"/>
    </lcf76f155ced4ddcb4097134ff3c332f>
    <SharedWithUsers xmlns="bf10499d-8e73-4567-bcd2-e9ccb9466658">
      <UserInfo>
        <DisplayName>COZZONE, Massimo</DisplayName>
        <AccountId>39</AccountId>
        <AccountType/>
      </UserInfo>
      <UserInfo>
        <DisplayName>SHARASHIDZE, Nino</DisplayName>
        <AccountId>36</AccountId>
        <AccountType/>
      </UserInfo>
      <UserInfo>
        <DisplayName>Adamonyte, Dovile</DisplayName>
        <AccountId>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F774E53B20C45A0A87BF9E0293560" ma:contentTypeVersion="19" ma:contentTypeDescription="Create a new document." ma:contentTypeScope="" ma:versionID="5364147efe5a792b05d797ea03074030">
  <xsd:schema xmlns:xsd="http://www.w3.org/2001/XMLSchema" xmlns:xs="http://www.w3.org/2001/XMLSchema" xmlns:p="http://schemas.microsoft.com/office/2006/metadata/properties" xmlns:ns2="7781c099-4fd0-48fd-8f96-0163cf7be544" xmlns:ns3="bf10499d-8e73-4567-bcd2-e9ccb9466658" targetNamespace="http://schemas.microsoft.com/office/2006/metadata/properties" ma:root="true" ma:fieldsID="94770ec8577d912b9c135d97bcee0ae8" ns2:_="" ns3:_="">
    <xsd:import namespace="7781c099-4fd0-48fd-8f96-0163cf7be544"/>
    <xsd:import namespace="bf10499d-8e73-4567-bcd2-e9ccb946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1c099-4fd0-48fd-8f96-0163cf7be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499d-8e73-4567-bcd2-e9ccb94666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8c0f03-bc9d-455b-9637-61a49c6ad8dc}" ma:internalName="TaxCatchAll" ma:showField="CatchAllData" ma:web="bf10499d-8e73-4567-bcd2-e9ccb9466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6687C-7B0A-4E90-A1AC-BDC429CB8175}">
  <ds:schemaRefs>
    <ds:schemaRef ds:uri="http://schemas.microsoft.com/sharepoint/v3/contenttype/forms"/>
  </ds:schemaRefs>
</ds:datastoreItem>
</file>

<file path=customXml/itemProps2.xml><?xml version="1.0" encoding="utf-8"?>
<ds:datastoreItem xmlns:ds="http://schemas.openxmlformats.org/officeDocument/2006/customXml" ds:itemID="{15AD7812-FF6F-4F72-AFFC-5A2F9B134C16}">
  <ds:schemaRefs>
    <ds:schemaRef ds:uri="http://schemas.openxmlformats.org/officeDocument/2006/bibliography"/>
  </ds:schemaRefs>
</ds:datastoreItem>
</file>

<file path=customXml/itemProps3.xml><?xml version="1.0" encoding="utf-8"?>
<ds:datastoreItem xmlns:ds="http://schemas.openxmlformats.org/officeDocument/2006/customXml" ds:itemID="{90906B30-2D42-4099-BA5B-3FD1621F6CEC}">
  <ds:schemaRefs>
    <ds:schemaRef ds:uri="http://schemas.microsoft.com/office/2006/metadata/properties"/>
    <ds:schemaRef ds:uri="http://schemas.microsoft.com/office/infopath/2007/PartnerControls"/>
    <ds:schemaRef ds:uri="bf10499d-8e73-4567-bcd2-e9ccb9466658"/>
    <ds:schemaRef ds:uri="7781c099-4fd0-48fd-8f96-0163cf7be544"/>
  </ds:schemaRefs>
</ds:datastoreItem>
</file>

<file path=customXml/itemProps4.xml><?xml version="1.0" encoding="utf-8"?>
<ds:datastoreItem xmlns:ds="http://schemas.openxmlformats.org/officeDocument/2006/customXml" ds:itemID="{527F6EE3-1C15-40EC-BC91-3D130DA7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1c099-4fd0-48fd-8f96-0163cf7be544"/>
    <ds:schemaRef ds:uri="bf10499d-8e73-4567-bcd2-e9ccb946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6135</Words>
  <Characters>34972</Characters>
  <Application>Microsoft Office Word</Application>
  <DocSecurity>0</DocSecurity>
  <Lines>291</Lines>
  <Paragraphs>82</Paragraphs>
  <ScaleCrop>false</ScaleCrop>
  <Company/>
  <LinksUpToDate>false</LinksUpToDate>
  <CharactersWithSpaces>41025</CharactersWithSpaces>
  <SharedDoc>false</SharedDoc>
  <HLinks>
    <vt:vector size="222" baseType="variant">
      <vt:variant>
        <vt:i4>4194380</vt:i4>
      </vt:variant>
      <vt:variant>
        <vt:i4>123</vt:i4>
      </vt:variant>
      <vt:variant>
        <vt:i4>0</vt:i4>
      </vt:variant>
      <vt:variant>
        <vt:i4>5</vt:i4>
      </vt:variant>
      <vt:variant>
        <vt:lpwstr>https://worldhealthorg.sharepoint.com/sites/ws-EEHP/default.aspx</vt:lpwstr>
      </vt:variant>
      <vt:variant>
        <vt:lpwstr/>
      </vt:variant>
      <vt:variant>
        <vt:i4>4980816</vt:i4>
      </vt:variant>
      <vt:variant>
        <vt:i4>120</vt:i4>
      </vt:variant>
      <vt:variant>
        <vt:i4>0</vt:i4>
      </vt:variant>
      <vt:variant>
        <vt:i4>5</vt:i4>
      </vt:variant>
      <vt:variant>
        <vt:lpwstr>https://www.who.int/europe/initiatives/european-environment-and-health-process-(ehp)/european-environment-and-health-process-(ehp)-newsletter</vt:lpwstr>
      </vt:variant>
      <vt:variant>
        <vt:lpwstr/>
      </vt:variant>
      <vt:variant>
        <vt:i4>917538</vt:i4>
      </vt:variant>
      <vt:variant>
        <vt:i4>117</vt:i4>
      </vt:variant>
      <vt:variant>
        <vt:i4>0</vt:i4>
      </vt:variant>
      <vt:variant>
        <vt:i4>5</vt:i4>
      </vt:variant>
      <vt:variant>
        <vt:lpwstr>https://iris.who.int/handle/10665/368102?order=desc&amp;query=Human+biomonitoring+programmes%3A+importance+for+protecting+human+health+from+negative+impacts+of+chemicals%3A+technical+summary&amp;rpp=10&amp;scope=&amp;search-result=true&amp;sort_by=score</vt:lpwstr>
      </vt:variant>
      <vt:variant>
        <vt:lpwstr/>
      </vt:variant>
      <vt:variant>
        <vt:i4>5701735</vt:i4>
      </vt:variant>
      <vt:variant>
        <vt:i4>114</vt:i4>
      </vt:variant>
      <vt:variant>
        <vt:i4>0</vt:i4>
      </vt:variant>
      <vt:variant>
        <vt:i4>5</vt:i4>
      </vt:variant>
      <vt:variant>
        <vt:lpwstr>https://iris.who.int/handle/10665/369233?order=desc&amp;query=Uptake+and+impact+of+the+WHO+Environmental+noise+guidelines+for+the+European+Region%3A+experiences+from+Member+States&amp;rpp=10&amp;scope=&amp;search-result=true&amp;sort_by=score</vt:lpwstr>
      </vt:variant>
      <vt:variant>
        <vt:lpwstr/>
      </vt:variant>
      <vt:variant>
        <vt:i4>4980744</vt:i4>
      </vt:variant>
      <vt:variant>
        <vt:i4>111</vt:i4>
      </vt:variant>
      <vt:variant>
        <vt:i4>0</vt:i4>
      </vt:variant>
      <vt:variant>
        <vt:i4>5</vt:i4>
      </vt:variant>
      <vt:variant>
        <vt:lpwstr>https://iris.who.int/handle/10665/369596</vt:lpwstr>
      </vt:variant>
      <vt:variant>
        <vt:lpwstr/>
      </vt:variant>
      <vt:variant>
        <vt:i4>3735662</vt:i4>
      </vt:variant>
      <vt:variant>
        <vt:i4>108</vt:i4>
      </vt:variant>
      <vt:variant>
        <vt:i4>0</vt:i4>
      </vt:variant>
      <vt:variant>
        <vt:i4>5</vt:i4>
      </vt:variant>
      <vt:variant>
        <vt:lpwstr>https://www.who.int/europe/publications/i/item/EHTF-rules-of-procedure-2021</vt:lpwstr>
      </vt:variant>
      <vt:variant>
        <vt:lpwstr/>
      </vt:variant>
      <vt:variant>
        <vt:i4>1507387</vt:i4>
      </vt:variant>
      <vt:variant>
        <vt:i4>104</vt:i4>
      </vt:variant>
      <vt:variant>
        <vt:i4>0</vt:i4>
      </vt:variant>
      <vt:variant>
        <vt:i4>5</vt:i4>
      </vt:variant>
      <vt:variant>
        <vt:lpwstr/>
      </vt:variant>
      <vt:variant>
        <vt:lpwstr>_Toc164096709</vt:lpwstr>
      </vt:variant>
      <vt:variant>
        <vt:i4>1507387</vt:i4>
      </vt:variant>
      <vt:variant>
        <vt:i4>101</vt:i4>
      </vt:variant>
      <vt:variant>
        <vt:i4>0</vt:i4>
      </vt:variant>
      <vt:variant>
        <vt:i4>5</vt:i4>
      </vt:variant>
      <vt:variant>
        <vt:lpwstr/>
      </vt:variant>
      <vt:variant>
        <vt:lpwstr>_Toc164096708</vt:lpwstr>
      </vt:variant>
      <vt:variant>
        <vt:i4>1507387</vt:i4>
      </vt:variant>
      <vt:variant>
        <vt:i4>95</vt:i4>
      </vt:variant>
      <vt:variant>
        <vt:i4>0</vt:i4>
      </vt:variant>
      <vt:variant>
        <vt:i4>5</vt:i4>
      </vt:variant>
      <vt:variant>
        <vt:lpwstr/>
      </vt:variant>
      <vt:variant>
        <vt:lpwstr>_Toc164096707</vt:lpwstr>
      </vt:variant>
      <vt:variant>
        <vt:i4>1507387</vt:i4>
      </vt:variant>
      <vt:variant>
        <vt:i4>89</vt:i4>
      </vt:variant>
      <vt:variant>
        <vt:i4>0</vt:i4>
      </vt:variant>
      <vt:variant>
        <vt:i4>5</vt:i4>
      </vt:variant>
      <vt:variant>
        <vt:lpwstr/>
      </vt:variant>
      <vt:variant>
        <vt:lpwstr>_Toc164096706</vt:lpwstr>
      </vt:variant>
      <vt:variant>
        <vt:i4>1507387</vt:i4>
      </vt:variant>
      <vt:variant>
        <vt:i4>83</vt:i4>
      </vt:variant>
      <vt:variant>
        <vt:i4>0</vt:i4>
      </vt:variant>
      <vt:variant>
        <vt:i4>5</vt:i4>
      </vt:variant>
      <vt:variant>
        <vt:lpwstr/>
      </vt:variant>
      <vt:variant>
        <vt:lpwstr>_Toc164096705</vt:lpwstr>
      </vt:variant>
      <vt:variant>
        <vt:i4>1507387</vt:i4>
      </vt:variant>
      <vt:variant>
        <vt:i4>77</vt:i4>
      </vt:variant>
      <vt:variant>
        <vt:i4>0</vt:i4>
      </vt:variant>
      <vt:variant>
        <vt:i4>5</vt:i4>
      </vt:variant>
      <vt:variant>
        <vt:lpwstr/>
      </vt:variant>
      <vt:variant>
        <vt:lpwstr>_Toc164096704</vt:lpwstr>
      </vt:variant>
      <vt:variant>
        <vt:i4>1507387</vt:i4>
      </vt:variant>
      <vt:variant>
        <vt:i4>71</vt:i4>
      </vt:variant>
      <vt:variant>
        <vt:i4>0</vt:i4>
      </vt:variant>
      <vt:variant>
        <vt:i4>5</vt:i4>
      </vt:variant>
      <vt:variant>
        <vt:lpwstr/>
      </vt:variant>
      <vt:variant>
        <vt:lpwstr>_Toc164096703</vt:lpwstr>
      </vt:variant>
      <vt:variant>
        <vt:i4>1507387</vt:i4>
      </vt:variant>
      <vt:variant>
        <vt:i4>65</vt:i4>
      </vt:variant>
      <vt:variant>
        <vt:i4>0</vt:i4>
      </vt:variant>
      <vt:variant>
        <vt:i4>5</vt:i4>
      </vt:variant>
      <vt:variant>
        <vt:lpwstr/>
      </vt:variant>
      <vt:variant>
        <vt:lpwstr>_Toc164096702</vt:lpwstr>
      </vt:variant>
      <vt:variant>
        <vt:i4>1507387</vt:i4>
      </vt:variant>
      <vt:variant>
        <vt:i4>59</vt:i4>
      </vt:variant>
      <vt:variant>
        <vt:i4>0</vt:i4>
      </vt:variant>
      <vt:variant>
        <vt:i4>5</vt:i4>
      </vt:variant>
      <vt:variant>
        <vt:lpwstr/>
      </vt:variant>
      <vt:variant>
        <vt:lpwstr>_Toc164096701</vt:lpwstr>
      </vt:variant>
      <vt:variant>
        <vt:i4>1507387</vt:i4>
      </vt:variant>
      <vt:variant>
        <vt:i4>53</vt:i4>
      </vt:variant>
      <vt:variant>
        <vt:i4>0</vt:i4>
      </vt:variant>
      <vt:variant>
        <vt:i4>5</vt:i4>
      </vt:variant>
      <vt:variant>
        <vt:lpwstr/>
      </vt:variant>
      <vt:variant>
        <vt:lpwstr>_Toc164096700</vt:lpwstr>
      </vt:variant>
      <vt:variant>
        <vt:i4>1966138</vt:i4>
      </vt:variant>
      <vt:variant>
        <vt:i4>47</vt:i4>
      </vt:variant>
      <vt:variant>
        <vt:i4>0</vt:i4>
      </vt:variant>
      <vt:variant>
        <vt:i4>5</vt:i4>
      </vt:variant>
      <vt:variant>
        <vt:lpwstr/>
      </vt:variant>
      <vt:variant>
        <vt:lpwstr>_Toc164096699</vt:lpwstr>
      </vt:variant>
      <vt:variant>
        <vt:i4>1966138</vt:i4>
      </vt:variant>
      <vt:variant>
        <vt:i4>41</vt:i4>
      </vt:variant>
      <vt:variant>
        <vt:i4>0</vt:i4>
      </vt:variant>
      <vt:variant>
        <vt:i4>5</vt:i4>
      </vt:variant>
      <vt:variant>
        <vt:lpwstr/>
      </vt:variant>
      <vt:variant>
        <vt:lpwstr>_Toc164096698</vt:lpwstr>
      </vt:variant>
      <vt:variant>
        <vt:i4>1966138</vt:i4>
      </vt:variant>
      <vt:variant>
        <vt:i4>35</vt:i4>
      </vt:variant>
      <vt:variant>
        <vt:i4>0</vt:i4>
      </vt:variant>
      <vt:variant>
        <vt:i4>5</vt:i4>
      </vt:variant>
      <vt:variant>
        <vt:lpwstr/>
      </vt:variant>
      <vt:variant>
        <vt:lpwstr>_Toc164096697</vt:lpwstr>
      </vt:variant>
      <vt:variant>
        <vt:i4>1966138</vt:i4>
      </vt:variant>
      <vt:variant>
        <vt:i4>29</vt:i4>
      </vt:variant>
      <vt:variant>
        <vt:i4>0</vt:i4>
      </vt:variant>
      <vt:variant>
        <vt:i4>5</vt:i4>
      </vt:variant>
      <vt:variant>
        <vt:lpwstr/>
      </vt:variant>
      <vt:variant>
        <vt:lpwstr>_Toc164096696</vt:lpwstr>
      </vt:variant>
      <vt:variant>
        <vt:i4>1966138</vt:i4>
      </vt:variant>
      <vt:variant>
        <vt:i4>23</vt:i4>
      </vt:variant>
      <vt:variant>
        <vt:i4>0</vt:i4>
      </vt:variant>
      <vt:variant>
        <vt:i4>5</vt:i4>
      </vt:variant>
      <vt:variant>
        <vt:lpwstr/>
      </vt:variant>
      <vt:variant>
        <vt:lpwstr>_Toc164096695</vt:lpwstr>
      </vt:variant>
      <vt:variant>
        <vt:i4>1966138</vt:i4>
      </vt:variant>
      <vt:variant>
        <vt:i4>17</vt:i4>
      </vt:variant>
      <vt:variant>
        <vt:i4>0</vt:i4>
      </vt:variant>
      <vt:variant>
        <vt:i4>5</vt:i4>
      </vt:variant>
      <vt:variant>
        <vt:lpwstr/>
      </vt:variant>
      <vt:variant>
        <vt:lpwstr>_Toc164096694</vt:lpwstr>
      </vt:variant>
      <vt:variant>
        <vt:i4>1966138</vt:i4>
      </vt:variant>
      <vt:variant>
        <vt:i4>11</vt:i4>
      </vt:variant>
      <vt:variant>
        <vt:i4>0</vt:i4>
      </vt:variant>
      <vt:variant>
        <vt:i4>5</vt:i4>
      </vt:variant>
      <vt:variant>
        <vt:lpwstr/>
      </vt:variant>
      <vt:variant>
        <vt:lpwstr>_Toc164096693</vt:lpwstr>
      </vt:variant>
      <vt:variant>
        <vt:i4>1966138</vt:i4>
      </vt:variant>
      <vt:variant>
        <vt:i4>5</vt:i4>
      </vt:variant>
      <vt:variant>
        <vt:i4>0</vt:i4>
      </vt:variant>
      <vt:variant>
        <vt:i4>5</vt:i4>
      </vt:variant>
      <vt:variant>
        <vt:lpwstr/>
      </vt:variant>
      <vt:variant>
        <vt:lpwstr>_Toc164096692</vt:lpwstr>
      </vt:variant>
      <vt:variant>
        <vt:i4>4653061</vt:i4>
      </vt:variant>
      <vt:variant>
        <vt:i4>36</vt:i4>
      </vt:variant>
      <vt:variant>
        <vt:i4>0</vt:i4>
      </vt:variant>
      <vt:variant>
        <vt:i4>5</vt:i4>
      </vt:variant>
      <vt:variant>
        <vt:lpwstr>https://iris.who.int/handle/10665/368159</vt:lpwstr>
      </vt:variant>
      <vt:variant>
        <vt:lpwstr/>
      </vt:variant>
      <vt:variant>
        <vt:i4>4718598</vt:i4>
      </vt:variant>
      <vt:variant>
        <vt:i4>33</vt:i4>
      </vt:variant>
      <vt:variant>
        <vt:i4>0</vt:i4>
      </vt:variant>
      <vt:variant>
        <vt:i4>5</vt:i4>
      </vt:variant>
      <vt:variant>
        <vt:lpwstr>https://iris.who.int/handle/10665/368166</vt:lpwstr>
      </vt:variant>
      <vt:variant>
        <vt:lpwstr/>
      </vt:variant>
      <vt:variant>
        <vt:i4>4521999</vt:i4>
      </vt:variant>
      <vt:variant>
        <vt:i4>30</vt:i4>
      </vt:variant>
      <vt:variant>
        <vt:i4>0</vt:i4>
      </vt:variant>
      <vt:variant>
        <vt:i4>5</vt:i4>
      </vt:variant>
      <vt:variant>
        <vt:lpwstr>https://iris.who.int/handle/10665/370972</vt:lpwstr>
      </vt:variant>
      <vt:variant>
        <vt:lpwstr/>
      </vt:variant>
      <vt:variant>
        <vt:i4>4980751</vt:i4>
      </vt:variant>
      <vt:variant>
        <vt:i4>27</vt:i4>
      </vt:variant>
      <vt:variant>
        <vt:i4>0</vt:i4>
      </vt:variant>
      <vt:variant>
        <vt:i4>5</vt:i4>
      </vt:variant>
      <vt:variant>
        <vt:lpwstr>https://iris.who.int/handle/10665/364330</vt:lpwstr>
      </vt:variant>
      <vt:variant>
        <vt:lpwstr/>
      </vt:variant>
      <vt:variant>
        <vt:i4>4587534</vt:i4>
      </vt:variant>
      <vt:variant>
        <vt:i4>24</vt:i4>
      </vt:variant>
      <vt:variant>
        <vt:i4>0</vt:i4>
      </vt:variant>
      <vt:variant>
        <vt:i4>5</vt:i4>
      </vt:variant>
      <vt:variant>
        <vt:lpwstr>https://iris.who.int/handle/10665/345932</vt:lpwstr>
      </vt:variant>
      <vt:variant>
        <vt:lpwstr/>
      </vt:variant>
      <vt:variant>
        <vt:i4>4849670</vt:i4>
      </vt:variant>
      <vt:variant>
        <vt:i4>21</vt:i4>
      </vt:variant>
      <vt:variant>
        <vt:i4>0</vt:i4>
      </vt:variant>
      <vt:variant>
        <vt:i4>5</vt:i4>
      </vt:variant>
      <vt:variant>
        <vt:lpwstr>https://iris.who.int/handle/10665/368164</vt:lpwstr>
      </vt:variant>
      <vt:variant>
        <vt:lpwstr/>
      </vt:variant>
      <vt:variant>
        <vt:i4>6225983</vt:i4>
      </vt:variant>
      <vt:variant>
        <vt:i4>18</vt:i4>
      </vt:variant>
      <vt:variant>
        <vt:i4>0</vt:i4>
      </vt:variant>
      <vt:variant>
        <vt:i4>5</vt:i4>
      </vt:variant>
      <vt:variant>
        <vt:lpwstr>https://ec.europa.eu/info/strategy/priorities-2019-2024/european-green-deal_en</vt:lpwstr>
      </vt:variant>
      <vt:variant>
        <vt:lpwstr/>
      </vt:variant>
      <vt:variant>
        <vt:i4>3670061</vt:i4>
      </vt:variant>
      <vt:variant>
        <vt:i4>15</vt:i4>
      </vt:variant>
      <vt:variant>
        <vt:i4>0</vt:i4>
      </vt:variant>
      <vt:variant>
        <vt:i4>5</vt:i4>
      </vt:variant>
      <vt:variant>
        <vt:lpwstr>https://www.urbanagendaplatform.org/nua</vt:lpwstr>
      </vt:variant>
      <vt:variant>
        <vt:lpwstr/>
      </vt:variant>
      <vt:variant>
        <vt:i4>4587524</vt:i4>
      </vt:variant>
      <vt:variant>
        <vt:i4>12</vt:i4>
      </vt:variant>
      <vt:variant>
        <vt:i4>0</vt:i4>
      </vt:variant>
      <vt:variant>
        <vt:i4>5</vt:i4>
      </vt:variant>
      <vt:variant>
        <vt:lpwstr>https://iris.who.int/handle/10665/344883</vt:lpwstr>
      </vt:variant>
      <vt:variant>
        <vt:lpwstr/>
      </vt:variant>
      <vt:variant>
        <vt:i4>3997821</vt:i4>
      </vt:variant>
      <vt:variant>
        <vt:i4>9</vt:i4>
      </vt:variant>
      <vt:variant>
        <vt:i4>0</vt:i4>
      </vt:variant>
      <vt:variant>
        <vt:i4>5</vt:i4>
      </vt:variant>
      <vt:variant>
        <vt:lpwstr>https://www.who.int/about/general-programme-of-work/fourteenth</vt:lpwstr>
      </vt:variant>
      <vt:variant>
        <vt:lpwstr/>
      </vt:variant>
      <vt:variant>
        <vt:i4>5177350</vt:i4>
      </vt:variant>
      <vt:variant>
        <vt:i4>6</vt:i4>
      </vt:variant>
      <vt:variant>
        <vt:i4>0</vt:i4>
      </vt:variant>
      <vt:variant>
        <vt:i4>5</vt:i4>
      </vt:variant>
      <vt:variant>
        <vt:lpwstr>https://iris.who.int/handle/10665/368161</vt:lpwstr>
      </vt:variant>
      <vt:variant>
        <vt:lpwstr/>
      </vt:variant>
      <vt:variant>
        <vt:i4>4849676</vt:i4>
      </vt:variant>
      <vt:variant>
        <vt:i4>3</vt:i4>
      </vt:variant>
      <vt:variant>
        <vt:i4>0</vt:i4>
      </vt:variant>
      <vt:variant>
        <vt:i4>5</vt:i4>
      </vt:variant>
      <vt:variant>
        <vt:lpwstr>https://iris.who.int/handle/10665/331959</vt:lpwstr>
      </vt:variant>
      <vt:variant>
        <vt:lpwstr/>
      </vt:variant>
      <vt:variant>
        <vt:i4>6815869</vt:i4>
      </vt:variant>
      <vt:variant>
        <vt:i4>0</vt:i4>
      </vt:variant>
      <vt:variant>
        <vt:i4>0</vt:i4>
      </vt:variant>
      <vt:variant>
        <vt:i4>5</vt:i4>
      </vt:variant>
      <vt:variant>
        <vt:lpwstr>https://sdgs.un.org/2030agenda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Adamonyte</dc:creator>
  <cp:keywords/>
  <dc:description/>
  <cp:lastModifiedBy>Dovile Adamonyte</cp:lastModifiedBy>
  <cp:revision>2</cp:revision>
  <cp:lastPrinted>2024-04-15T15:11:00Z</cp:lastPrinted>
  <dcterms:created xsi:type="dcterms:W3CDTF">2024-04-15T15:11:00Z</dcterms:created>
  <dcterms:modified xsi:type="dcterms:W3CDTF">2024-04-15T15:11:00Z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0x010100918F774E53B20C45A0A87BF9E0293560</vt:lpwstr>
  </property>
  <property fmtid="{D5CDD505-2E9C-101B-9397-08002B2CF9AE}" pid="3" name="MediaServiceImageTags">
    <vt:lpwstr/>
  </property>
</Properties>
</file>